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5D" w:rsidRPr="000726B9" w:rsidRDefault="002F755D">
      <w:pPr>
        <w:pStyle w:val="Heading1"/>
        <w:numPr>
          <w:ilvl w:val="0"/>
          <w:numId w:val="0"/>
        </w:numPr>
        <w:tabs>
          <w:tab w:val="left" w:pos="2268"/>
        </w:tabs>
        <w:rPr>
          <w:rFonts w:ascii="Times New Roman" w:hAnsi="Times New Roman" w:cs="Times New Roman"/>
          <w:sz w:val="28"/>
          <w:szCs w:val="28"/>
          <w:lang w:val="en-GB"/>
        </w:rPr>
      </w:pPr>
      <w:bookmarkStart w:id="0" w:name="_Toc42488098"/>
      <w:r w:rsidRPr="000726B9">
        <w:rPr>
          <w:rFonts w:ascii="Times New Roman" w:hAnsi="Times New Roman" w:cs="Times New Roman"/>
          <w:i/>
          <w:iCs/>
          <w:sz w:val="40"/>
          <w:szCs w:val="40"/>
          <w:lang w:val="en-GB"/>
        </w:rPr>
        <w:t xml:space="preserve">ANNEX II </w:t>
      </w:r>
      <w:r>
        <w:rPr>
          <w:rFonts w:ascii="Times New Roman" w:hAnsi="Times New Roman" w:cs="Times New Roman"/>
          <w:i/>
          <w:iCs/>
          <w:sz w:val="40"/>
          <w:szCs w:val="40"/>
          <w:lang w:val="en-GB"/>
        </w:rPr>
        <w:t>+ III:</w:t>
      </w:r>
      <w:r w:rsidRPr="000726B9">
        <w:rPr>
          <w:rFonts w:ascii="Times New Roman" w:hAnsi="Times New Roman" w:cs="Times New Roman"/>
          <w:i/>
          <w:iCs/>
          <w:sz w:val="40"/>
          <w:szCs w:val="40"/>
          <w:lang w:val="en-GB"/>
        </w:rPr>
        <w:tab/>
      </w:r>
      <w:r w:rsidRPr="000726B9">
        <w:rPr>
          <w:rFonts w:ascii="Times New Roman" w:hAnsi="Times New Roman" w:cs="Times New Roman"/>
          <w:sz w:val="28"/>
          <w:szCs w:val="28"/>
          <w:lang w:val="en-GB"/>
        </w:rPr>
        <w:t>TECHNICAL SPECIFICATIONS</w:t>
      </w:r>
      <w:bookmarkEnd w:id="0"/>
      <w:r>
        <w:rPr>
          <w:rFonts w:ascii="Times New Roman" w:hAnsi="Times New Roman" w:cs="Times New Roman"/>
          <w:sz w:val="28"/>
          <w:szCs w:val="28"/>
          <w:lang w:val="en-GB"/>
        </w:rPr>
        <w:t xml:space="preserve"> + TECHNICAL OFFER</w:t>
      </w:r>
    </w:p>
    <w:p w:rsidR="002F755D" w:rsidRPr="000726B9" w:rsidRDefault="002F755D">
      <w:pPr>
        <w:spacing w:before="0" w:after="0"/>
        <w:ind w:left="567" w:hanging="567"/>
        <w:rPr>
          <w:rFonts w:ascii="Times New Roman" w:hAnsi="Times New Roman" w:cs="Times New Roman"/>
          <w:lang w:val="en-GB"/>
        </w:rPr>
      </w:pPr>
    </w:p>
    <w:p w:rsidR="002F755D" w:rsidRPr="002B0798" w:rsidRDefault="002F755D" w:rsidP="0061283F">
      <w:pPr>
        <w:tabs>
          <w:tab w:val="right" w:pos="14459"/>
        </w:tabs>
        <w:jc w:val="both"/>
        <w:outlineLvl w:val="0"/>
        <w:rPr>
          <w:rFonts w:ascii="Times New Roman" w:hAnsi="Times New Roman" w:cs="Times New Roman"/>
          <w:b/>
          <w:bCs/>
          <w:lang w:val="en-GB"/>
        </w:rPr>
      </w:pPr>
      <w:r w:rsidRPr="002B0798">
        <w:rPr>
          <w:rFonts w:ascii="Times New Roman" w:hAnsi="Times New Roman" w:cs="Times New Roman"/>
          <w:b/>
          <w:bCs/>
          <w:sz w:val="22"/>
          <w:szCs w:val="22"/>
          <w:lang w:val="en-GB"/>
        </w:rPr>
        <w:t xml:space="preserve">Contract title: Supply of of </w:t>
      </w:r>
      <w:r>
        <w:rPr>
          <w:sz w:val="22"/>
          <w:szCs w:val="22"/>
        </w:rPr>
        <w:t xml:space="preserve"> 10 Medical devices - 2</w:t>
      </w:r>
    </w:p>
    <w:p w:rsidR="002F755D" w:rsidRDefault="002F755D" w:rsidP="0061283F">
      <w:pPr>
        <w:tabs>
          <w:tab w:val="left" w:pos="0"/>
          <w:tab w:val="left" w:pos="709"/>
          <w:tab w:val="left" w:pos="851"/>
          <w:tab w:val="left" w:pos="1134"/>
          <w:tab w:val="left" w:pos="1418"/>
        </w:tabs>
        <w:spacing w:before="240" w:after="240"/>
        <w:rPr>
          <w:b/>
          <w:bCs/>
        </w:rPr>
      </w:pPr>
      <w:r w:rsidRPr="002B0798">
        <w:rPr>
          <w:rFonts w:ascii="Times New Roman" w:hAnsi="Times New Roman" w:cs="Times New Roman"/>
          <w:b/>
          <w:bCs/>
          <w:sz w:val="22"/>
          <w:szCs w:val="22"/>
          <w:lang w:val="en-GB"/>
        </w:rPr>
        <w:t>Publication reference:</w:t>
      </w:r>
      <w:r>
        <w:rPr>
          <w:rFonts w:ascii="Times New Roman" w:hAnsi="Times New Roman" w:cs="Times New Roman"/>
          <w:sz w:val="22"/>
          <w:szCs w:val="22"/>
          <w:lang w:val="en-GB"/>
        </w:rPr>
        <w:t xml:space="preserve"> </w:t>
      </w:r>
      <w:r w:rsidRPr="00E1669C">
        <w:rPr>
          <w:b/>
          <w:bCs/>
        </w:rPr>
        <w:t xml:space="preserve"> </w:t>
      </w:r>
      <w:r>
        <w:rPr>
          <w:b/>
          <w:bCs/>
        </w:rPr>
        <w:t>CN1 – SO1.2 – SC027</w:t>
      </w:r>
    </w:p>
    <w:p w:rsidR="002F755D" w:rsidRDefault="002F755D" w:rsidP="0061283F">
      <w:pPr>
        <w:tabs>
          <w:tab w:val="left" w:pos="0"/>
          <w:tab w:val="left" w:pos="709"/>
          <w:tab w:val="left" w:pos="851"/>
          <w:tab w:val="left" w:pos="1134"/>
          <w:tab w:val="left" w:pos="1418"/>
        </w:tabs>
        <w:spacing w:before="240" w:after="240"/>
        <w:rPr>
          <w:sz w:val="22"/>
          <w:szCs w:val="22"/>
          <w:lang w:val="en-GB"/>
        </w:rPr>
      </w:pPr>
      <w:r>
        <w:t>Tender 3/2019</w:t>
      </w:r>
    </w:p>
    <w:p w:rsidR="002F755D" w:rsidRDefault="002F755D" w:rsidP="000F3878">
      <w:pPr>
        <w:tabs>
          <w:tab w:val="left" w:pos="7491"/>
        </w:tabs>
        <w:rPr>
          <w:rFonts w:ascii="Times New Roman" w:hAnsi="Times New Roman" w:cs="Times New Roman"/>
          <w:b/>
          <w:bCs/>
          <w:sz w:val="22"/>
          <w:szCs w:val="22"/>
          <w:lang w:val="en-GB"/>
        </w:rPr>
      </w:pPr>
    </w:p>
    <w:p w:rsidR="002F755D" w:rsidRDefault="002F755D" w:rsidP="000F3878">
      <w:pPr>
        <w:tabs>
          <w:tab w:val="left" w:pos="7491"/>
        </w:tabs>
        <w:rPr>
          <w:rFonts w:ascii="Times New Roman" w:hAnsi="Times New Roman" w:cs="Times New Roman"/>
          <w:b/>
          <w:bCs/>
          <w:sz w:val="22"/>
          <w:szCs w:val="22"/>
          <w:lang w:val="en-GB"/>
        </w:rPr>
      </w:pPr>
    </w:p>
    <w:p w:rsidR="002F755D" w:rsidRPr="000726B9" w:rsidRDefault="002F755D">
      <w:pPr>
        <w:spacing w:before="0" w:after="0"/>
        <w:ind w:left="567" w:hanging="567"/>
        <w:rPr>
          <w:rFonts w:ascii="Times New Roman" w:hAnsi="Times New Roman" w:cs="Times New Roman"/>
          <w:b/>
          <w:bCs/>
          <w:sz w:val="22"/>
          <w:szCs w:val="22"/>
          <w:lang w:val="en-GB"/>
        </w:rPr>
      </w:pPr>
    </w:p>
    <w:p w:rsidR="002F755D" w:rsidRPr="000726B9" w:rsidRDefault="002F755D">
      <w:pPr>
        <w:spacing w:before="0" w:after="0"/>
        <w:ind w:left="567" w:hanging="567"/>
        <w:rPr>
          <w:rFonts w:ascii="Times New Roman" w:hAnsi="Times New Roman" w:cs="Times New Roman"/>
          <w:b/>
          <w:bCs/>
          <w:sz w:val="22"/>
          <w:szCs w:val="22"/>
          <w:lang w:val="en-GB"/>
        </w:rPr>
      </w:pPr>
    </w:p>
    <w:p w:rsidR="002F755D" w:rsidRPr="000726B9" w:rsidRDefault="002F755D" w:rsidP="00B25580">
      <w:pPr>
        <w:spacing w:before="0" w:after="0"/>
        <w:rPr>
          <w:rFonts w:ascii="Times New Roman" w:hAnsi="Times New Roman" w:cs="Times New Roman"/>
          <w:b/>
          <w:bCs/>
          <w:sz w:val="22"/>
          <w:szCs w:val="22"/>
          <w:highlight w:val="yellow"/>
          <w:lang w:val="en-GB"/>
        </w:rPr>
      </w:pPr>
    </w:p>
    <w:p w:rsidR="002F755D" w:rsidRDefault="002F755D" w:rsidP="00301346">
      <w:pPr>
        <w:spacing w:before="0" w:after="0"/>
        <w:ind w:left="567" w:hanging="567"/>
        <w:rPr>
          <w:rFonts w:ascii="Times New Roman" w:hAnsi="Times New Roman" w:cs="Times New Roman"/>
          <w:b/>
          <w:bCs/>
          <w:sz w:val="22"/>
          <w:szCs w:val="22"/>
          <w:highlight w:val="yellow"/>
          <w:lang w:val="en-GB"/>
        </w:rPr>
      </w:pPr>
    </w:p>
    <w:p w:rsidR="002F755D" w:rsidRPr="00EB4039" w:rsidRDefault="002F755D" w:rsidP="00EB4039">
      <w:pPr>
        <w:spacing w:before="0" w:after="0"/>
        <w:ind w:left="567" w:hanging="567"/>
        <w:rPr>
          <w:rFonts w:ascii="Times New Roman" w:hAnsi="Times New Roman" w:cs="Times New Roman"/>
          <w:b/>
          <w:bCs/>
          <w:sz w:val="22"/>
          <w:szCs w:val="22"/>
          <w:lang w:val="en-GB"/>
        </w:rPr>
      </w:pPr>
      <w:r w:rsidRPr="00EB4039">
        <w:rPr>
          <w:rFonts w:ascii="Times New Roman" w:hAnsi="Times New Roman" w:cs="Times New Roman"/>
          <w:b/>
          <w:bCs/>
          <w:sz w:val="22"/>
          <w:szCs w:val="22"/>
          <w:lang w:val="en-GB"/>
        </w:rPr>
        <w:t>Column</w:t>
      </w:r>
      <w:r>
        <w:rPr>
          <w:rFonts w:ascii="Times New Roman" w:hAnsi="Times New Roman" w:cs="Times New Roman"/>
          <w:b/>
          <w:bCs/>
          <w:sz w:val="22"/>
          <w:szCs w:val="22"/>
          <w:lang w:val="en-GB"/>
        </w:rPr>
        <w:t>s</w:t>
      </w:r>
      <w:r w:rsidRPr="00EB4039">
        <w:rPr>
          <w:rFonts w:ascii="Times New Roman" w:hAnsi="Times New Roman" w:cs="Times New Roman"/>
          <w:b/>
          <w:bCs/>
          <w:sz w:val="22"/>
          <w:szCs w:val="22"/>
          <w:lang w:val="en-GB"/>
        </w:rPr>
        <w:t xml:space="preserve"> 1-2 should be completed by the </w:t>
      </w:r>
      <w:r>
        <w:rPr>
          <w:rFonts w:ascii="Times New Roman" w:hAnsi="Times New Roman" w:cs="Times New Roman"/>
          <w:b/>
          <w:bCs/>
          <w:sz w:val="22"/>
          <w:szCs w:val="22"/>
          <w:lang w:val="en-GB"/>
        </w:rPr>
        <w:t>c</w:t>
      </w:r>
      <w:r w:rsidRPr="00EB4039">
        <w:rPr>
          <w:rFonts w:ascii="Times New Roman" w:hAnsi="Times New Roman" w:cs="Times New Roman"/>
          <w:b/>
          <w:bCs/>
          <w:sz w:val="22"/>
          <w:szCs w:val="22"/>
          <w:lang w:val="en-GB"/>
        </w:rPr>
        <w:t xml:space="preserve">ontracting </w:t>
      </w:r>
      <w:r>
        <w:rPr>
          <w:rFonts w:ascii="Times New Roman" w:hAnsi="Times New Roman" w:cs="Times New Roman"/>
          <w:b/>
          <w:bCs/>
          <w:sz w:val="22"/>
          <w:szCs w:val="22"/>
          <w:lang w:val="en-GB"/>
        </w:rPr>
        <w:t>a</w:t>
      </w:r>
      <w:r w:rsidRPr="00EB4039">
        <w:rPr>
          <w:rFonts w:ascii="Times New Roman" w:hAnsi="Times New Roman" w:cs="Times New Roman"/>
          <w:b/>
          <w:bCs/>
          <w:sz w:val="22"/>
          <w:szCs w:val="22"/>
          <w:lang w:val="en-GB"/>
        </w:rPr>
        <w:t>uthority</w:t>
      </w:r>
    </w:p>
    <w:p w:rsidR="002F755D" w:rsidRPr="00EB4039" w:rsidRDefault="002F755D" w:rsidP="00301346">
      <w:pPr>
        <w:spacing w:before="0" w:after="0"/>
        <w:ind w:left="567" w:hanging="567"/>
        <w:rPr>
          <w:rFonts w:ascii="Times New Roman" w:hAnsi="Times New Roman" w:cs="Times New Roman"/>
          <w:b/>
          <w:bCs/>
          <w:sz w:val="22"/>
          <w:szCs w:val="22"/>
          <w:lang w:val="en-GB"/>
        </w:rPr>
      </w:pPr>
      <w:r w:rsidRPr="00EB4039">
        <w:rPr>
          <w:rFonts w:ascii="Times New Roman" w:hAnsi="Times New Roman" w:cs="Times New Roman"/>
          <w:b/>
          <w:bCs/>
          <w:sz w:val="22"/>
          <w:szCs w:val="22"/>
          <w:lang w:val="en-GB"/>
        </w:rPr>
        <w:t>Column</w:t>
      </w:r>
      <w:r>
        <w:rPr>
          <w:rFonts w:ascii="Times New Roman" w:hAnsi="Times New Roman" w:cs="Times New Roman"/>
          <w:b/>
          <w:bCs/>
          <w:sz w:val="22"/>
          <w:szCs w:val="22"/>
          <w:lang w:val="en-GB"/>
        </w:rPr>
        <w:t>s</w:t>
      </w:r>
      <w:r w:rsidRPr="00EB4039">
        <w:rPr>
          <w:rFonts w:ascii="Times New Roman" w:hAnsi="Times New Roman" w:cs="Times New Roman"/>
          <w:b/>
          <w:bCs/>
          <w:sz w:val="22"/>
          <w:szCs w:val="22"/>
          <w:lang w:val="en-GB"/>
        </w:rPr>
        <w:t xml:space="preserve"> 3-4 should be completed by the tenderer</w:t>
      </w:r>
    </w:p>
    <w:p w:rsidR="002F755D" w:rsidRPr="000726B9" w:rsidRDefault="002F755D" w:rsidP="00301346">
      <w:pPr>
        <w:spacing w:before="0"/>
        <w:rPr>
          <w:rFonts w:ascii="Times New Roman" w:hAnsi="Times New Roman" w:cs="Times New Roman"/>
          <w:b/>
          <w:bCs/>
          <w:sz w:val="24"/>
          <w:szCs w:val="24"/>
          <w:lang w:val="en-GB"/>
        </w:rPr>
      </w:pPr>
      <w:r w:rsidRPr="00EB4039">
        <w:rPr>
          <w:rFonts w:ascii="Times New Roman" w:hAnsi="Times New Roman" w:cs="Times New Roman"/>
          <w:b/>
          <w:bCs/>
          <w:sz w:val="22"/>
          <w:szCs w:val="22"/>
          <w:lang w:val="en-GB"/>
        </w:rPr>
        <w:t>Column 5 is reserved for the evaluation committee</w:t>
      </w:r>
    </w:p>
    <w:p w:rsidR="002F755D" w:rsidRPr="00207A66" w:rsidRDefault="002F755D" w:rsidP="00EB4039">
      <w:pPr>
        <w:ind w:left="567" w:hanging="567"/>
        <w:rPr>
          <w:rFonts w:ascii="Times New Roman" w:hAnsi="Times New Roman" w:cs="Times New Roman"/>
          <w:sz w:val="22"/>
          <w:szCs w:val="22"/>
          <w:lang w:val="en-GB"/>
        </w:rPr>
      </w:pPr>
      <w:r w:rsidRPr="00207A66">
        <w:rPr>
          <w:rFonts w:ascii="Times New Roman" w:hAnsi="Times New Roman" w:cs="Times New Roman"/>
          <w:sz w:val="22"/>
          <w:szCs w:val="22"/>
          <w:lang w:val="en-GB"/>
        </w:rPr>
        <w:t xml:space="preserve">Annex III - the </w:t>
      </w:r>
      <w:r>
        <w:rPr>
          <w:rFonts w:ascii="Times New Roman" w:hAnsi="Times New Roman" w:cs="Times New Roman"/>
          <w:sz w:val="22"/>
          <w:szCs w:val="22"/>
          <w:lang w:val="en-GB"/>
        </w:rPr>
        <w:t>c</w:t>
      </w:r>
      <w:r w:rsidRPr="00207A66">
        <w:rPr>
          <w:rFonts w:ascii="Times New Roman" w:hAnsi="Times New Roman" w:cs="Times New Roman"/>
          <w:sz w:val="22"/>
          <w:szCs w:val="22"/>
          <w:lang w:val="en-GB"/>
        </w:rPr>
        <w:t>ontractor's technical offer</w:t>
      </w:r>
    </w:p>
    <w:p w:rsidR="002F755D" w:rsidRPr="00207A66" w:rsidRDefault="002F755D" w:rsidP="00EB4039">
      <w:pPr>
        <w:ind w:left="567" w:hanging="567"/>
        <w:rPr>
          <w:rFonts w:ascii="Times New Roman" w:hAnsi="Times New Roman" w:cs="Times New Roman"/>
          <w:sz w:val="22"/>
          <w:szCs w:val="22"/>
          <w:lang w:val="en-GB"/>
        </w:rPr>
      </w:pPr>
      <w:r w:rsidRPr="00207A66">
        <w:rPr>
          <w:rFonts w:ascii="Times New Roman" w:hAnsi="Times New Roman" w:cs="Times New Roman"/>
          <w:sz w:val="22"/>
          <w:szCs w:val="22"/>
          <w:lang w:val="en-GB"/>
        </w:rPr>
        <w:t xml:space="preserve">The tenderers are requested to complete the template on the next pages: </w:t>
      </w:r>
    </w:p>
    <w:p w:rsidR="002F755D" w:rsidRPr="00207A66" w:rsidRDefault="002F755D" w:rsidP="00EB4039">
      <w:pPr>
        <w:numPr>
          <w:ilvl w:val="0"/>
          <w:numId w:val="35"/>
        </w:numPr>
        <w:spacing w:before="0" w:after="0"/>
        <w:jc w:val="both"/>
        <w:rPr>
          <w:rFonts w:ascii="Times New Roman" w:hAnsi="Times New Roman" w:cs="Times New Roman"/>
          <w:sz w:val="22"/>
          <w:szCs w:val="22"/>
          <w:lang w:val="en-GB"/>
        </w:rPr>
      </w:pPr>
      <w:r>
        <w:rPr>
          <w:rFonts w:ascii="Times New Roman" w:hAnsi="Times New Roman" w:cs="Times New Roman"/>
          <w:sz w:val="22"/>
          <w:szCs w:val="22"/>
          <w:lang w:val="en-GB"/>
        </w:rPr>
        <w:t>C</w:t>
      </w:r>
      <w:r w:rsidRPr="00207A66">
        <w:rPr>
          <w:rFonts w:ascii="Times New Roman" w:hAnsi="Times New Roman" w:cs="Times New Roman"/>
          <w:sz w:val="22"/>
          <w:szCs w:val="22"/>
          <w:lang w:val="en-GB"/>
        </w:rPr>
        <w:t xml:space="preserve">olumn </w:t>
      </w:r>
      <w:r>
        <w:rPr>
          <w:rFonts w:ascii="Times New Roman" w:hAnsi="Times New Roman" w:cs="Times New Roman"/>
          <w:sz w:val="22"/>
          <w:szCs w:val="22"/>
          <w:lang w:val="en-GB"/>
        </w:rPr>
        <w:t xml:space="preserve">2 is completed by the contracting authority </w:t>
      </w:r>
      <w:r w:rsidRPr="00207A66">
        <w:rPr>
          <w:rFonts w:ascii="Times New Roman" w:hAnsi="Times New Roman" w:cs="Times New Roman"/>
          <w:sz w:val="22"/>
          <w:szCs w:val="22"/>
          <w:lang w:val="en-GB"/>
        </w:rPr>
        <w:t>shows the required specifications</w:t>
      </w:r>
      <w:r>
        <w:rPr>
          <w:rFonts w:ascii="Times New Roman" w:hAnsi="Times New Roman" w:cs="Times New Roman"/>
          <w:sz w:val="22"/>
          <w:szCs w:val="22"/>
          <w:lang w:val="en-GB"/>
        </w:rPr>
        <w:t xml:space="preserve"> (not to be modified by the tenderer)</w:t>
      </w:r>
      <w:r w:rsidRPr="00207A66">
        <w:rPr>
          <w:rFonts w:ascii="Times New Roman" w:hAnsi="Times New Roman" w:cs="Times New Roman"/>
          <w:sz w:val="22"/>
          <w:szCs w:val="22"/>
          <w:lang w:val="en-GB"/>
        </w:rPr>
        <w:t xml:space="preserve">, </w:t>
      </w:r>
    </w:p>
    <w:p w:rsidR="002F755D" w:rsidRPr="00207A66" w:rsidRDefault="002F755D" w:rsidP="00EB4039">
      <w:pPr>
        <w:numPr>
          <w:ilvl w:val="0"/>
          <w:numId w:val="35"/>
        </w:numPr>
        <w:spacing w:before="0" w:after="0"/>
        <w:jc w:val="both"/>
        <w:rPr>
          <w:rFonts w:ascii="Times New Roman" w:hAnsi="Times New Roman" w:cs="Times New Roman"/>
          <w:sz w:val="22"/>
          <w:szCs w:val="22"/>
          <w:lang w:val="en-GB"/>
        </w:rPr>
      </w:pPr>
      <w:r>
        <w:rPr>
          <w:rFonts w:ascii="Times New Roman" w:hAnsi="Times New Roman" w:cs="Times New Roman"/>
          <w:sz w:val="22"/>
          <w:szCs w:val="22"/>
          <w:lang w:val="en-GB"/>
        </w:rPr>
        <w:t>Column 3</w:t>
      </w:r>
      <w:r w:rsidRPr="00207A66">
        <w:rPr>
          <w:rFonts w:ascii="Times New Roman" w:hAnsi="Times New Roman" w:cs="Times New Roman"/>
          <w:sz w:val="22"/>
          <w:szCs w:val="22"/>
          <w:lang w:val="en-GB"/>
        </w:rPr>
        <w:t xml:space="preserve"> is to be filled in by the tenderer and must detail what is offered (for example the words </w:t>
      </w:r>
      <w:r>
        <w:rPr>
          <w:rFonts w:ascii="Times New Roman" w:hAnsi="Times New Roman" w:cs="Times New Roman"/>
          <w:sz w:val="22"/>
          <w:szCs w:val="22"/>
          <w:lang w:val="en-GB"/>
        </w:rPr>
        <w:t>‘</w:t>
      </w:r>
      <w:r w:rsidRPr="00207A66">
        <w:rPr>
          <w:rFonts w:ascii="Times New Roman" w:hAnsi="Times New Roman" w:cs="Times New Roman"/>
          <w:sz w:val="22"/>
          <w:szCs w:val="22"/>
          <w:lang w:val="en-GB"/>
        </w:rPr>
        <w:t>compliant</w:t>
      </w:r>
      <w:r>
        <w:rPr>
          <w:rFonts w:ascii="Times New Roman" w:hAnsi="Times New Roman" w:cs="Times New Roman"/>
          <w:sz w:val="22"/>
          <w:szCs w:val="22"/>
          <w:lang w:val="en-GB"/>
        </w:rPr>
        <w:t>’</w:t>
      </w:r>
      <w:r w:rsidRPr="00207A66">
        <w:rPr>
          <w:rFonts w:ascii="Times New Roman" w:hAnsi="Times New Roman" w:cs="Times New Roman"/>
          <w:sz w:val="22"/>
          <w:szCs w:val="22"/>
          <w:lang w:val="en-GB"/>
        </w:rPr>
        <w:t xml:space="preserve"> or </w:t>
      </w:r>
      <w:r>
        <w:rPr>
          <w:rFonts w:ascii="Times New Roman" w:hAnsi="Times New Roman" w:cs="Times New Roman"/>
          <w:sz w:val="22"/>
          <w:szCs w:val="22"/>
          <w:lang w:val="en-GB"/>
        </w:rPr>
        <w:t>‘</w:t>
      </w:r>
      <w:r w:rsidRPr="00207A66">
        <w:rPr>
          <w:rFonts w:ascii="Times New Roman" w:hAnsi="Times New Roman" w:cs="Times New Roman"/>
          <w:sz w:val="22"/>
          <w:szCs w:val="22"/>
          <w:lang w:val="en-GB"/>
        </w:rPr>
        <w:t>yes</w:t>
      </w:r>
      <w:r>
        <w:rPr>
          <w:rFonts w:ascii="Times New Roman" w:hAnsi="Times New Roman" w:cs="Times New Roman"/>
          <w:sz w:val="22"/>
          <w:szCs w:val="22"/>
          <w:lang w:val="en-GB"/>
        </w:rPr>
        <w:t>’</w:t>
      </w:r>
      <w:r w:rsidRPr="00207A66">
        <w:rPr>
          <w:rFonts w:ascii="Times New Roman" w:hAnsi="Times New Roman" w:cs="Times New Roman"/>
          <w:sz w:val="22"/>
          <w:szCs w:val="22"/>
          <w:lang w:val="en-GB"/>
        </w:rPr>
        <w:t xml:space="preserve"> are not sufficient)</w:t>
      </w:r>
    </w:p>
    <w:p w:rsidR="002F755D" w:rsidRPr="00153236" w:rsidRDefault="002F755D" w:rsidP="00EB4039">
      <w:pPr>
        <w:numPr>
          <w:ilvl w:val="0"/>
          <w:numId w:val="35"/>
        </w:numPr>
        <w:spacing w:before="0" w:after="0"/>
        <w:jc w:val="both"/>
        <w:rPr>
          <w:rFonts w:ascii="Times New Roman" w:hAnsi="Times New Roman" w:cs="Times New Roman"/>
          <w:sz w:val="22"/>
          <w:szCs w:val="22"/>
          <w:lang w:val="en-GB"/>
        </w:rPr>
      </w:pPr>
      <w:r>
        <w:rPr>
          <w:rFonts w:ascii="Times New Roman" w:hAnsi="Times New Roman" w:cs="Times New Roman"/>
          <w:sz w:val="22"/>
          <w:szCs w:val="22"/>
          <w:lang w:val="en-GB"/>
        </w:rPr>
        <w:t>Column 4</w:t>
      </w:r>
      <w:r w:rsidRPr="00207A66">
        <w:rPr>
          <w:rFonts w:ascii="Times New Roman" w:hAnsi="Times New Roman" w:cs="Times New Roman"/>
          <w:sz w:val="22"/>
          <w:szCs w:val="22"/>
          <w:lang w:val="en-GB"/>
        </w:rPr>
        <w:t xml:space="preserve"> allows the tenderer to make </w:t>
      </w:r>
      <w:r w:rsidRPr="00153236">
        <w:rPr>
          <w:rFonts w:ascii="Times New Roman" w:hAnsi="Times New Roman" w:cs="Times New Roman"/>
          <w:sz w:val="22"/>
          <w:szCs w:val="22"/>
          <w:lang w:val="en-GB"/>
        </w:rPr>
        <w:t>comments onits proposed supply and to make eventual references to the documentation</w:t>
      </w:r>
    </w:p>
    <w:p w:rsidR="002F755D" w:rsidRPr="00207A66" w:rsidRDefault="002F755D" w:rsidP="00EB4039">
      <w:pPr>
        <w:jc w:val="both"/>
        <w:rPr>
          <w:rFonts w:ascii="Times New Roman" w:hAnsi="Times New Roman" w:cs="Times New Roman"/>
          <w:sz w:val="22"/>
          <w:szCs w:val="22"/>
          <w:lang w:val="en-GB"/>
        </w:rPr>
      </w:pPr>
      <w:r w:rsidRPr="00207A66">
        <w:rPr>
          <w:rFonts w:ascii="Times New Roman" w:hAnsi="Times New Roman" w:cs="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2F755D" w:rsidRDefault="002F755D" w:rsidP="00EB4039">
      <w:pPr>
        <w:ind w:left="567" w:hanging="567"/>
        <w:jc w:val="both"/>
        <w:rPr>
          <w:rFonts w:ascii="Times New Roman" w:hAnsi="Times New Roman" w:cs="Times New Roman"/>
          <w:sz w:val="22"/>
          <w:szCs w:val="22"/>
          <w:lang w:val="en-GB"/>
        </w:rPr>
      </w:pPr>
      <w:r w:rsidRPr="00207A66">
        <w:rPr>
          <w:rFonts w:ascii="Times New Roman" w:hAnsi="Times New Roman" w:cs="Times New Roman"/>
          <w:sz w:val="22"/>
          <w:szCs w:val="22"/>
          <w:lang w:val="en-GB"/>
        </w:rPr>
        <w:t>The offer must be clear enough to allow the evaluators to make an easy comparison between the requested specifications and the offeredspecifications.</w:t>
      </w:r>
    </w:p>
    <w:p w:rsidR="002F755D" w:rsidRDefault="002F755D" w:rsidP="005C4176">
      <w:pPr>
        <w:spacing w:before="0"/>
        <w:ind w:left="567" w:hanging="567"/>
        <w:rPr>
          <w:lang w:val="en-GB"/>
        </w:rPr>
      </w:pPr>
      <w:r>
        <w:rPr>
          <w:rFonts w:ascii="Times New Roman" w:hAnsi="Times New Roman" w:cs="Times New Roman"/>
          <w:sz w:val="22"/>
          <w:szCs w:val="22"/>
          <w:lang w:val="en-GB"/>
        </w:rPr>
        <w:br w:type="page"/>
      </w:r>
    </w:p>
    <w:tbl>
      <w:tblPr>
        <w:tblW w:w="148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678"/>
        <w:gridCol w:w="4253"/>
        <w:gridCol w:w="2835"/>
        <w:gridCol w:w="1984"/>
      </w:tblGrid>
      <w:tr w:rsidR="002F755D" w:rsidRPr="00034B1D">
        <w:tblPrEx>
          <w:tblCellMar>
            <w:top w:w="0" w:type="dxa"/>
            <w:bottom w:w="0" w:type="dxa"/>
          </w:tblCellMar>
        </w:tblPrEx>
        <w:trPr>
          <w:cantSplit/>
          <w:trHeight w:val="879"/>
          <w:tblHeader/>
        </w:trPr>
        <w:tc>
          <w:tcPr>
            <w:tcW w:w="1134" w:type="dxa"/>
            <w:shd w:val="pct5" w:color="auto" w:fill="FFFFFF"/>
          </w:tcPr>
          <w:p w:rsidR="002F755D" w:rsidRDefault="002F755D" w:rsidP="00AF4E19">
            <w:pPr>
              <w:jc w:val="center"/>
              <w:rPr>
                <w:rFonts w:ascii="Times New Roman" w:hAnsi="Times New Roman" w:cs="Times New Roman"/>
                <w:b/>
                <w:bCs/>
                <w:sz w:val="22"/>
                <w:szCs w:val="22"/>
              </w:rPr>
            </w:pPr>
            <w:r>
              <w:rPr>
                <w:rFonts w:ascii="Times New Roman" w:hAnsi="Times New Roman" w:cs="Times New Roman"/>
                <w:b/>
                <w:bCs/>
                <w:sz w:val="22"/>
                <w:szCs w:val="22"/>
              </w:rPr>
              <w:t>1.</w:t>
            </w:r>
          </w:p>
          <w:p w:rsidR="002F755D" w:rsidRPr="00034B1D" w:rsidRDefault="002F755D" w:rsidP="00AF4E19">
            <w:pPr>
              <w:jc w:val="center"/>
              <w:rPr>
                <w:rFonts w:ascii="Times New Roman" w:hAnsi="Times New Roman" w:cs="Times New Roman"/>
                <w:b/>
                <w:bCs/>
                <w:sz w:val="22"/>
                <w:szCs w:val="22"/>
                <w:highlight w:val="green"/>
              </w:rPr>
            </w:pPr>
            <w:r w:rsidRPr="00034B1D">
              <w:rPr>
                <w:rFonts w:ascii="Times New Roman" w:hAnsi="Times New Roman" w:cs="Times New Roman"/>
                <w:b/>
                <w:bCs/>
                <w:sz w:val="22"/>
                <w:szCs w:val="22"/>
              </w:rPr>
              <w:t xml:space="preserve">Item </w:t>
            </w:r>
            <w:r w:rsidRPr="00684176">
              <w:rPr>
                <w:rFonts w:ascii="Times New Roman" w:hAnsi="Times New Roman" w:cs="Times New Roman"/>
                <w:b/>
                <w:bCs/>
                <w:sz w:val="22"/>
                <w:szCs w:val="22"/>
                <w:lang w:val="en-GB"/>
              </w:rPr>
              <w:t>number</w:t>
            </w:r>
          </w:p>
        </w:tc>
        <w:tc>
          <w:tcPr>
            <w:tcW w:w="4678" w:type="dxa"/>
            <w:shd w:val="pct5" w:color="auto" w:fill="FFFFFF"/>
          </w:tcPr>
          <w:p w:rsidR="002F755D" w:rsidRDefault="002F755D" w:rsidP="00AF4E19">
            <w:pPr>
              <w:jc w:val="center"/>
              <w:rPr>
                <w:rFonts w:ascii="Times New Roman" w:hAnsi="Times New Roman" w:cs="Times New Roman"/>
                <w:b/>
                <w:bCs/>
                <w:sz w:val="22"/>
                <w:szCs w:val="22"/>
              </w:rPr>
            </w:pPr>
            <w:r>
              <w:rPr>
                <w:rFonts w:ascii="Times New Roman" w:hAnsi="Times New Roman" w:cs="Times New Roman"/>
                <w:b/>
                <w:bCs/>
                <w:sz w:val="22"/>
                <w:szCs w:val="22"/>
              </w:rPr>
              <w:t>2.</w:t>
            </w:r>
          </w:p>
          <w:p w:rsidR="002F755D" w:rsidRPr="00034B1D" w:rsidRDefault="002F755D" w:rsidP="00AF4E19">
            <w:pPr>
              <w:jc w:val="center"/>
              <w:rPr>
                <w:rFonts w:ascii="Times New Roman" w:hAnsi="Times New Roman" w:cs="Times New Roman"/>
                <w:b/>
                <w:bCs/>
                <w:sz w:val="22"/>
                <w:szCs w:val="22"/>
              </w:rPr>
            </w:pPr>
            <w:r w:rsidRPr="00684176">
              <w:rPr>
                <w:rFonts w:ascii="Times New Roman" w:hAnsi="Times New Roman" w:cs="Times New Roman"/>
                <w:b/>
                <w:bCs/>
                <w:sz w:val="22"/>
                <w:szCs w:val="22"/>
                <w:lang w:val="en-GB"/>
              </w:rPr>
              <w:t>Specifications</w:t>
            </w:r>
            <w:r w:rsidRPr="00034B1D">
              <w:rPr>
                <w:rFonts w:ascii="Times New Roman" w:hAnsi="Times New Roman" w:cs="Times New Roman"/>
                <w:b/>
                <w:bCs/>
                <w:sz w:val="22"/>
                <w:szCs w:val="22"/>
              </w:rPr>
              <w:t xml:space="preserve"> </w:t>
            </w:r>
            <w:r>
              <w:rPr>
                <w:rFonts w:ascii="Times New Roman" w:hAnsi="Times New Roman" w:cs="Times New Roman"/>
                <w:b/>
                <w:bCs/>
                <w:sz w:val="22"/>
                <w:szCs w:val="22"/>
                <w:lang w:val="en-GB"/>
              </w:rPr>
              <w:t>r</w:t>
            </w:r>
            <w:r w:rsidRPr="00684176">
              <w:rPr>
                <w:rFonts w:ascii="Times New Roman" w:hAnsi="Times New Roman" w:cs="Times New Roman"/>
                <w:b/>
                <w:bCs/>
                <w:sz w:val="22"/>
                <w:szCs w:val="22"/>
                <w:lang w:val="en-GB"/>
              </w:rPr>
              <w:t>equired</w:t>
            </w:r>
          </w:p>
        </w:tc>
        <w:tc>
          <w:tcPr>
            <w:tcW w:w="4253" w:type="dxa"/>
            <w:shd w:val="pct5" w:color="auto" w:fill="FFFFFF"/>
          </w:tcPr>
          <w:p w:rsidR="002F755D" w:rsidRDefault="002F755D" w:rsidP="00AF4E19">
            <w:pPr>
              <w:tabs>
                <w:tab w:val="left" w:pos="729"/>
              </w:tabs>
              <w:jc w:val="center"/>
              <w:rPr>
                <w:rFonts w:ascii="Times New Roman" w:hAnsi="Times New Roman" w:cs="Times New Roman"/>
                <w:b/>
                <w:bCs/>
                <w:sz w:val="22"/>
                <w:szCs w:val="22"/>
              </w:rPr>
            </w:pPr>
            <w:r>
              <w:rPr>
                <w:rFonts w:ascii="Times New Roman" w:hAnsi="Times New Roman" w:cs="Times New Roman"/>
                <w:b/>
                <w:bCs/>
                <w:sz w:val="22"/>
                <w:szCs w:val="22"/>
              </w:rPr>
              <w:t>3.</w:t>
            </w:r>
          </w:p>
          <w:p w:rsidR="002F755D" w:rsidRPr="00034B1D" w:rsidRDefault="002F755D" w:rsidP="00AF4E19">
            <w:pPr>
              <w:tabs>
                <w:tab w:val="left" w:pos="729"/>
              </w:tabs>
              <w:jc w:val="center"/>
              <w:rPr>
                <w:rFonts w:ascii="Times New Roman" w:hAnsi="Times New Roman" w:cs="Times New Roman"/>
                <w:b/>
                <w:bCs/>
                <w:sz w:val="22"/>
                <w:szCs w:val="22"/>
              </w:rPr>
            </w:pPr>
            <w:r w:rsidRPr="00684176">
              <w:rPr>
                <w:rFonts w:ascii="Times New Roman" w:hAnsi="Times New Roman" w:cs="Times New Roman"/>
                <w:b/>
                <w:bCs/>
                <w:sz w:val="22"/>
                <w:szCs w:val="22"/>
                <w:lang w:val="en-GB"/>
              </w:rPr>
              <w:t>Specifications</w:t>
            </w:r>
            <w:r>
              <w:rPr>
                <w:rFonts w:ascii="Times New Roman" w:hAnsi="Times New Roman" w:cs="Times New Roman"/>
                <w:b/>
                <w:bCs/>
                <w:sz w:val="22"/>
                <w:szCs w:val="22"/>
              </w:rPr>
              <w:t xml:space="preserve"> </w:t>
            </w:r>
            <w:r w:rsidRPr="00684176">
              <w:rPr>
                <w:rFonts w:ascii="Times New Roman" w:hAnsi="Times New Roman" w:cs="Times New Roman"/>
                <w:b/>
                <w:bCs/>
                <w:sz w:val="22"/>
                <w:szCs w:val="22"/>
                <w:lang w:val="en-GB"/>
              </w:rPr>
              <w:t>offered</w:t>
            </w:r>
          </w:p>
        </w:tc>
        <w:tc>
          <w:tcPr>
            <w:tcW w:w="2835" w:type="dxa"/>
            <w:shd w:val="pct5" w:color="auto" w:fill="FFFFFF"/>
          </w:tcPr>
          <w:p w:rsidR="002F755D" w:rsidRDefault="002F755D" w:rsidP="00AF4E19">
            <w:pPr>
              <w:tabs>
                <w:tab w:val="left" w:pos="729"/>
              </w:tabs>
              <w:jc w:val="center"/>
              <w:rPr>
                <w:rFonts w:ascii="Times New Roman" w:hAnsi="Times New Roman" w:cs="Times New Roman"/>
                <w:b/>
                <w:bCs/>
                <w:sz w:val="22"/>
                <w:szCs w:val="22"/>
                <w:lang w:val="en-GB"/>
              </w:rPr>
            </w:pPr>
            <w:r>
              <w:rPr>
                <w:rFonts w:ascii="Times New Roman" w:hAnsi="Times New Roman" w:cs="Times New Roman"/>
                <w:b/>
                <w:bCs/>
                <w:sz w:val="22"/>
                <w:szCs w:val="22"/>
                <w:lang w:val="en-GB"/>
              </w:rPr>
              <w:t>4</w:t>
            </w:r>
            <w:r w:rsidRPr="000F3878">
              <w:rPr>
                <w:rFonts w:ascii="Times New Roman" w:hAnsi="Times New Roman" w:cs="Times New Roman"/>
                <w:b/>
                <w:bCs/>
                <w:sz w:val="22"/>
                <w:szCs w:val="22"/>
                <w:lang w:val="en-GB"/>
              </w:rPr>
              <w:t>.</w:t>
            </w:r>
            <w:r w:rsidRPr="00034B1D">
              <w:rPr>
                <w:rFonts w:ascii="Times New Roman" w:hAnsi="Times New Roman" w:cs="Times New Roman"/>
                <w:b/>
                <w:bCs/>
                <w:sz w:val="22"/>
                <w:szCs w:val="22"/>
                <w:lang w:val="en-GB"/>
              </w:rPr>
              <w:t xml:space="preserve"> </w:t>
            </w:r>
          </w:p>
          <w:p w:rsidR="002F755D" w:rsidRPr="00034B1D" w:rsidRDefault="002F755D" w:rsidP="00AF4E19">
            <w:pPr>
              <w:tabs>
                <w:tab w:val="left" w:pos="729"/>
              </w:tabs>
              <w:jc w:val="center"/>
              <w:rPr>
                <w:rFonts w:ascii="Times New Roman" w:hAnsi="Times New Roman" w:cs="Times New Roman"/>
                <w:b/>
                <w:bCs/>
                <w:sz w:val="22"/>
                <w:szCs w:val="22"/>
                <w:lang w:val="en-GB"/>
              </w:rPr>
            </w:pPr>
            <w:r w:rsidRPr="00034B1D">
              <w:rPr>
                <w:rFonts w:ascii="Times New Roman" w:hAnsi="Times New Roman" w:cs="Times New Roman"/>
                <w:b/>
                <w:bCs/>
                <w:sz w:val="22"/>
                <w:szCs w:val="22"/>
                <w:lang w:val="en-GB"/>
              </w:rPr>
              <w:t xml:space="preserve">Notes, remarks, </w:t>
            </w:r>
            <w:r>
              <w:rPr>
                <w:rFonts w:ascii="Times New Roman" w:hAnsi="Times New Roman" w:cs="Times New Roman"/>
                <w:b/>
                <w:bCs/>
                <w:sz w:val="22"/>
                <w:szCs w:val="22"/>
                <w:lang w:val="en-GB"/>
              </w:rPr>
              <w:br/>
              <w:t>r</w:t>
            </w:r>
            <w:r w:rsidRPr="00034B1D">
              <w:rPr>
                <w:rFonts w:ascii="Times New Roman" w:hAnsi="Times New Roman" w:cs="Times New Roman"/>
                <w:b/>
                <w:bCs/>
                <w:sz w:val="22"/>
                <w:szCs w:val="22"/>
                <w:lang w:val="en-GB"/>
              </w:rPr>
              <w:t>ef to documentation</w:t>
            </w:r>
          </w:p>
        </w:tc>
        <w:tc>
          <w:tcPr>
            <w:tcW w:w="1984" w:type="dxa"/>
            <w:shd w:val="pct5" w:color="auto" w:fill="FFFFFF"/>
          </w:tcPr>
          <w:p w:rsidR="002F755D" w:rsidRDefault="002F755D" w:rsidP="00AF4E19">
            <w:pPr>
              <w:tabs>
                <w:tab w:val="left" w:pos="729"/>
              </w:tabs>
              <w:jc w:val="center"/>
              <w:rPr>
                <w:rFonts w:ascii="Times New Roman" w:hAnsi="Times New Roman" w:cs="Times New Roman"/>
                <w:b/>
                <w:bCs/>
                <w:sz w:val="22"/>
                <w:szCs w:val="22"/>
                <w:lang w:val="en-GB"/>
              </w:rPr>
            </w:pPr>
            <w:r>
              <w:rPr>
                <w:rFonts w:ascii="Times New Roman" w:hAnsi="Times New Roman" w:cs="Times New Roman"/>
                <w:b/>
                <w:bCs/>
                <w:sz w:val="22"/>
                <w:szCs w:val="22"/>
                <w:lang w:val="en-GB"/>
              </w:rPr>
              <w:t>5.</w:t>
            </w:r>
          </w:p>
          <w:p w:rsidR="002F755D" w:rsidRPr="00034B1D" w:rsidRDefault="002F755D" w:rsidP="00AF4E19">
            <w:pPr>
              <w:tabs>
                <w:tab w:val="left" w:pos="729"/>
              </w:tabs>
              <w:jc w:val="center"/>
              <w:rPr>
                <w:rFonts w:ascii="Times New Roman" w:hAnsi="Times New Roman" w:cs="Times New Roman"/>
                <w:b/>
                <w:bCs/>
                <w:sz w:val="22"/>
                <w:szCs w:val="22"/>
                <w:lang w:val="en-GB"/>
              </w:rPr>
            </w:pPr>
            <w:r w:rsidRPr="00034B1D">
              <w:rPr>
                <w:rFonts w:ascii="Times New Roman" w:hAnsi="Times New Roman" w:cs="Times New Roman"/>
                <w:b/>
                <w:bCs/>
                <w:sz w:val="22"/>
                <w:szCs w:val="22"/>
                <w:lang w:val="en-GB"/>
              </w:rPr>
              <w:t xml:space="preserve">Evaluation </w:t>
            </w:r>
            <w:r>
              <w:rPr>
                <w:rFonts w:ascii="Times New Roman" w:hAnsi="Times New Roman" w:cs="Times New Roman"/>
                <w:b/>
                <w:bCs/>
                <w:sz w:val="22"/>
                <w:szCs w:val="22"/>
                <w:lang w:val="en-GB"/>
              </w:rPr>
              <w:t>c</w:t>
            </w:r>
            <w:r w:rsidRPr="00034B1D">
              <w:rPr>
                <w:rFonts w:ascii="Times New Roman" w:hAnsi="Times New Roman" w:cs="Times New Roman"/>
                <w:b/>
                <w:bCs/>
                <w:sz w:val="22"/>
                <w:szCs w:val="22"/>
                <w:lang w:val="en-GB"/>
              </w:rPr>
              <w:t xml:space="preserve">ommittee’s notes </w:t>
            </w:r>
          </w:p>
        </w:tc>
      </w:tr>
      <w:tr w:rsidR="002F755D" w:rsidRPr="00034B1D">
        <w:tblPrEx>
          <w:tblCellMar>
            <w:top w:w="0" w:type="dxa"/>
            <w:bottom w:w="0" w:type="dxa"/>
          </w:tblCellMar>
        </w:tblPrEx>
        <w:trPr>
          <w:cantSplit/>
        </w:trPr>
        <w:tc>
          <w:tcPr>
            <w:tcW w:w="1134" w:type="dxa"/>
          </w:tcPr>
          <w:p w:rsidR="002F755D" w:rsidRPr="00AA4CDD" w:rsidRDefault="002F755D" w:rsidP="00AF4E19">
            <w:pPr>
              <w:rPr>
                <w:rFonts w:ascii="Times New Roman" w:hAnsi="Times New Roman" w:cs="Times New Roman"/>
                <w:b/>
                <w:bCs/>
                <w:sz w:val="28"/>
                <w:szCs w:val="28"/>
                <w:highlight w:val="green"/>
                <w:lang w:val="en-GB"/>
              </w:rPr>
            </w:pPr>
            <w:r w:rsidRPr="00AA4CDD">
              <w:rPr>
                <w:rFonts w:ascii="Times New Roman" w:hAnsi="Times New Roman" w:cs="Times New Roman"/>
                <w:b/>
                <w:bCs/>
                <w:sz w:val="28"/>
                <w:szCs w:val="28"/>
                <w:lang w:val="en-GB"/>
              </w:rPr>
              <w:t>1</w:t>
            </w:r>
          </w:p>
        </w:tc>
        <w:tc>
          <w:tcPr>
            <w:tcW w:w="4678" w:type="dxa"/>
            <w:vAlign w:val="center"/>
          </w:tcPr>
          <w:p w:rsidR="002F755D" w:rsidRDefault="002F755D" w:rsidP="00AF4E19">
            <w:r>
              <w:t>Column scale with wireless data transmission (BMI CALCULATOR)</w:t>
            </w:r>
          </w:p>
          <w:p w:rsidR="002F755D" w:rsidRDefault="002F755D" w:rsidP="00AF4E19">
            <w:r>
              <w:t xml:space="preserve"> Technical Specifications: Below you can find the minimum specifications that the columnscale must bring. It is obvious that offers with better specifications would be accepted. Height Measurement device of high accuracy (mm). To provide also Non-slip rubber mat with heel positioner, backlit display and measuring range rod 30-220 cm. Graduation measuring rod: 1 mm Net weight: up to 6 kg Operation with batteries Wireless transmission of data to wireless printer or topc via USB or to wireless scale with BMI functionality for BMI calculation. To provide Bluetooth connectivity so as to be compatible with integrated platforms of communication and telemedicine. Support for GNU/GPL licenses Data encryption and Protocols https &amp; SSL </w:t>
            </w:r>
          </w:p>
          <w:p w:rsidR="002F755D" w:rsidRDefault="002F755D" w:rsidP="00AF4E19">
            <w:r>
              <w:t xml:space="preserve">(optional CE Marked if applicable) </w:t>
            </w:r>
          </w:p>
          <w:p w:rsidR="002F755D" w:rsidRDefault="002F755D" w:rsidP="00AF4E19">
            <w:r>
              <w:t>Accessories User Manual</w:t>
            </w:r>
          </w:p>
          <w:p w:rsidR="002F755D" w:rsidRPr="00AA4CDD" w:rsidRDefault="002F755D" w:rsidP="00AF4E19">
            <w:pPr>
              <w:rPr>
                <w:rFonts w:ascii="Times New Roman" w:hAnsi="Times New Roman" w:cs="Times New Roman"/>
                <w:b/>
                <w:bCs/>
                <w:highlight w:val="yellow"/>
                <w:lang w:val="en-US"/>
              </w:rPr>
            </w:pPr>
            <w:r>
              <w:t xml:space="preserve"> Warranty of good operation and support 1 year warranty. Technicalsupport and (Official statement by the supplier).</w:t>
            </w:r>
          </w:p>
        </w:tc>
        <w:tc>
          <w:tcPr>
            <w:tcW w:w="4253" w:type="dxa"/>
            <w:vAlign w:val="center"/>
          </w:tcPr>
          <w:p w:rsidR="002F755D" w:rsidRPr="00034B1D" w:rsidRDefault="002F755D" w:rsidP="00AF4E19">
            <w:pPr>
              <w:rPr>
                <w:rFonts w:ascii="Times New Roman" w:hAnsi="Times New Roman" w:cs="Times New Roman"/>
                <w:b/>
                <w:bCs/>
                <w:lang w:val="en-GB"/>
              </w:rPr>
            </w:pPr>
          </w:p>
        </w:tc>
        <w:tc>
          <w:tcPr>
            <w:tcW w:w="2835" w:type="dxa"/>
          </w:tcPr>
          <w:p w:rsidR="002F755D" w:rsidRPr="00034B1D" w:rsidRDefault="002F755D" w:rsidP="00AF4E19">
            <w:pPr>
              <w:rPr>
                <w:rFonts w:ascii="Times New Roman" w:hAnsi="Times New Roman" w:cs="Times New Roman"/>
                <w:b/>
                <w:bCs/>
                <w:lang w:val="en-GB"/>
              </w:rPr>
            </w:pPr>
          </w:p>
        </w:tc>
        <w:tc>
          <w:tcPr>
            <w:tcW w:w="1984" w:type="dxa"/>
          </w:tcPr>
          <w:p w:rsidR="002F755D" w:rsidRPr="00034B1D" w:rsidRDefault="002F755D" w:rsidP="00AF4E19">
            <w:pPr>
              <w:tabs>
                <w:tab w:val="left" w:pos="729"/>
              </w:tabs>
              <w:jc w:val="center"/>
              <w:rPr>
                <w:rFonts w:ascii="Times New Roman" w:hAnsi="Times New Roman" w:cs="Times New Roman"/>
                <w:b/>
                <w:bCs/>
                <w:lang w:val="en-GB"/>
              </w:rPr>
            </w:pPr>
          </w:p>
        </w:tc>
      </w:tr>
      <w:tr w:rsidR="002F755D" w:rsidRPr="000726B9">
        <w:tblPrEx>
          <w:tblCellMar>
            <w:top w:w="0" w:type="dxa"/>
            <w:bottom w:w="0" w:type="dxa"/>
          </w:tblCellMar>
        </w:tblPrEx>
        <w:trPr>
          <w:cantSplit/>
        </w:trPr>
        <w:tc>
          <w:tcPr>
            <w:tcW w:w="1134" w:type="dxa"/>
          </w:tcPr>
          <w:p w:rsidR="002F755D" w:rsidRPr="0035202F" w:rsidRDefault="002F755D" w:rsidP="00AF4E19">
            <w:pPr>
              <w:spacing w:after="0"/>
              <w:jc w:val="center"/>
              <w:rPr>
                <w:b/>
                <w:bCs/>
                <w:lang w:val="en-US"/>
              </w:rPr>
            </w:pPr>
            <w:r w:rsidRPr="0035202F">
              <w:rPr>
                <w:b/>
                <w:bCs/>
                <w:lang w:val="en-US"/>
              </w:rPr>
              <w:t>2</w:t>
            </w:r>
          </w:p>
        </w:tc>
        <w:tc>
          <w:tcPr>
            <w:tcW w:w="4678" w:type="dxa"/>
          </w:tcPr>
          <w:p w:rsidR="002F755D" w:rsidRDefault="002F755D" w:rsidP="00AF4E19">
            <w:pPr>
              <w:spacing w:after="0"/>
            </w:pPr>
            <w:r>
              <w:t>Self-Monitoring of Blood Glucose Systems (Device and Accessories)</w:t>
            </w:r>
          </w:p>
          <w:p w:rsidR="002F755D" w:rsidRDefault="002F755D" w:rsidP="00AF4E19">
            <w:pPr>
              <w:spacing w:after="0"/>
            </w:pPr>
            <w:r>
              <w:t>Blood Glucose Monitoring System-Device Quantity: One (1) Technical Specifications: Below the minimum requirements that the Blood Glucose Monitoring Device must fulfill. It is obvious that offers with better specifications would be accepted. The Blood Glucose Monitoring Devise must be certified with ISO 15197: 2015 with the stricter performance criteria. The device must test blood glucose in a range of 20-600md/dl,withCV lessthan 5% and to provide the option of data export with Bluetooth or NFC protocol so as to be compatible with integrated platforms of communication and telemedicine. Accessories a. UserManual b.Accessories (BloodGlucoseMonitoringstrips). 600 electrodes-strips for testing blood glucose with the specific device. Teststrips should require small blood volume up to 0,5μL of sample. To provide results within 5 secs with no calibration. Principle of testing should be electrochemistry and the enzyme used should be glucose oxidase.</w:t>
            </w:r>
          </w:p>
          <w:p w:rsidR="002F755D" w:rsidRDefault="002F755D" w:rsidP="00AF4E19">
            <w:pPr>
              <w:spacing w:after="0"/>
            </w:pPr>
            <w:r>
              <w:t xml:space="preserve"> The blood glucose monitoring system should be certified with ISO 15197: 2015.</w:t>
            </w:r>
          </w:p>
          <w:p w:rsidR="002F755D" w:rsidRPr="00F2256F" w:rsidRDefault="002F755D" w:rsidP="00AF4E19">
            <w:pPr>
              <w:spacing w:after="0"/>
              <w:rPr>
                <w:lang w:val="en-US"/>
              </w:rPr>
            </w:pPr>
            <w:r>
              <w:t xml:space="preserve"> Warranty of good operationand support 1 year warranty. Technical supportand (Official statement by the supplier).</w:t>
            </w:r>
          </w:p>
        </w:tc>
        <w:tc>
          <w:tcPr>
            <w:tcW w:w="4253" w:type="dxa"/>
            <w:vAlign w:val="center"/>
          </w:tcPr>
          <w:p w:rsidR="002F755D" w:rsidRPr="002B0798" w:rsidRDefault="002F755D" w:rsidP="00AF4E19">
            <w:pPr>
              <w:rPr>
                <w:rFonts w:ascii="Times New Roman" w:hAnsi="Times New Roman" w:cs="Times New Roman"/>
                <w:b/>
                <w:bCs/>
                <w:lang w:val="en-GB"/>
              </w:rPr>
            </w:pPr>
            <w:r w:rsidRPr="002B0798">
              <w:rPr>
                <w:rFonts w:ascii="Times New Roman" w:hAnsi="Times New Roman" w:cs="Times New Roman"/>
                <w:lang w:val="en-GB"/>
              </w:rPr>
              <w:t xml:space="preserve"> </w:t>
            </w:r>
          </w:p>
        </w:tc>
        <w:tc>
          <w:tcPr>
            <w:tcW w:w="2835" w:type="dxa"/>
          </w:tcPr>
          <w:p w:rsidR="002F755D" w:rsidRPr="002B0798" w:rsidRDefault="002F755D" w:rsidP="00AF4E19">
            <w:pPr>
              <w:rPr>
                <w:rFonts w:ascii="Times New Roman" w:hAnsi="Times New Roman" w:cs="Times New Roman"/>
                <w:b/>
                <w:bCs/>
                <w:lang w:val="en-GB"/>
              </w:rPr>
            </w:pPr>
          </w:p>
        </w:tc>
        <w:tc>
          <w:tcPr>
            <w:tcW w:w="1984" w:type="dxa"/>
          </w:tcPr>
          <w:p w:rsidR="002F755D" w:rsidRPr="002B0798" w:rsidRDefault="002F755D" w:rsidP="00AF4E19">
            <w:pPr>
              <w:rPr>
                <w:rFonts w:ascii="Times New Roman" w:hAnsi="Times New Roman" w:cs="Times New Roman"/>
                <w:b/>
                <w:bCs/>
                <w:lang w:val="en-GB"/>
              </w:rPr>
            </w:pPr>
          </w:p>
        </w:tc>
      </w:tr>
      <w:tr w:rsidR="002F755D" w:rsidRPr="000726B9">
        <w:tblPrEx>
          <w:tblCellMar>
            <w:top w:w="0" w:type="dxa"/>
            <w:bottom w:w="0" w:type="dxa"/>
          </w:tblCellMar>
        </w:tblPrEx>
        <w:trPr>
          <w:cantSplit/>
        </w:trPr>
        <w:tc>
          <w:tcPr>
            <w:tcW w:w="1134" w:type="dxa"/>
          </w:tcPr>
          <w:p w:rsidR="002F755D" w:rsidRPr="0035202F" w:rsidRDefault="002F755D" w:rsidP="00AF4E19">
            <w:pPr>
              <w:spacing w:after="0"/>
              <w:rPr>
                <w:b/>
                <w:bCs/>
                <w:lang w:val="en-US"/>
              </w:rPr>
            </w:pPr>
          </w:p>
        </w:tc>
        <w:tc>
          <w:tcPr>
            <w:tcW w:w="4678" w:type="dxa"/>
          </w:tcPr>
          <w:p w:rsidR="002F755D" w:rsidRPr="004411BC" w:rsidRDefault="002F755D" w:rsidP="00AF4E19">
            <w:pPr>
              <w:spacing w:after="0"/>
            </w:pPr>
          </w:p>
        </w:tc>
        <w:tc>
          <w:tcPr>
            <w:tcW w:w="4253" w:type="dxa"/>
          </w:tcPr>
          <w:p w:rsidR="002F755D" w:rsidRPr="002B0798" w:rsidRDefault="002F755D" w:rsidP="00AF4E19">
            <w:pPr>
              <w:rPr>
                <w:rFonts w:ascii="Times New Roman" w:hAnsi="Times New Roman" w:cs="Times New Roman"/>
                <w:b/>
                <w:bCs/>
                <w:lang w:val="en-GB"/>
              </w:rPr>
            </w:pPr>
          </w:p>
        </w:tc>
        <w:tc>
          <w:tcPr>
            <w:tcW w:w="2835" w:type="dxa"/>
          </w:tcPr>
          <w:p w:rsidR="002F755D" w:rsidRPr="002B0798" w:rsidRDefault="002F755D" w:rsidP="00AF4E19">
            <w:pPr>
              <w:rPr>
                <w:rFonts w:ascii="Times New Roman" w:hAnsi="Times New Roman" w:cs="Times New Roman"/>
                <w:b/>
                <w:bCs/>
                <w:lang w:val="en-GB"/>
              </w:rPr>
            </w:pPr>
          </w:p>
        </w:tc>
        <w:tc>
          <w:tcPr>
            <w:tcW w:w="1984" w:type="dxa"/>
          </w:tcPr>
          <w:p w:rsidR="002F755D" w:rsidRPr="002B0798" w:rsidRDefault="002F755D" w:rsidP="00AF4E19">
            <w:pPr>
              <w:rPr>
                <w:rFonts w:ascii="Times New Roman" w:hAnsi="Times New Roman" w:cs="Times New Roman"/>
                <w:b/>
                <w:bCs/>
                <w:lang w:val="en-GB"/>
              </w:rPr>
            </w:pPr>
          </w:p>
        </w:tc>
      </w:tr>
      <w:tr w:rsidR="002F755D" w:rsidRPr="000726B9">
        <w:tblPrEx>
          <w:tblCellMar>
            <w:top w:w="0" w:type="dxa"/>
            <w:bottom w:w="0" w:type="dxa"/>
          </w:tblCellMar>
        </w:tblPrEx>
        <w:trPr>
          <w:cantSplit/>
        </w:trPr>
        <w:tc>
          <w:tcPr>
            <w:tcW w:w="1134" w:type="dxa"/>
          </w:tcPr>
          <w:p w:rsidR="002F755D" w:rsidRPr="0035202F" w:rsidRDefault="002F755D" w:rsidP="00AF4E19">
            <w:pPr>
              <w:spacing w:after="0"/>
              <w:jc w:val="center"/>
              <w:rPr>
                <w:b/>
                <w:bCs/>
                <w:lang w:val="en-US"/>
              </w:rPr>
            </w:pPr>
            <w:r>
              <w:rPr>
                <w:b/>
                <w:bCs/>
                <w:lang w:val="en-US"/>
              </w:rPr>
              <w:t>3</w:t>
            </w:r>
          </w:p>
        </w:tc>
        <w:tc>
          <w:tcPr>
            <w:tcW w:w="4678" w:type="dxa"/>
          </w:tcPr>
          <w:p w:rsidR="002F755D" w:rsidRDefault="002F755D" w:rsidP="00AF4E19">
            <w:pPr>
              <w:spacing w:after="0"/>
            </w:pPr>
            <w:r>
              <w:t xml:space="preserve">Electronic Stethoscope Quantity: One (1) </w:t>
            </w:r>
          </w:p>
          <w:p w:rsidR="002F755D" w:rsidRPr="00F2256F" w:rsidRDefault="002F755D" w:rsidP="00AF4E19">
            <w:pPr>
              <w:spacing w:after="0"/>
              <w:rPr>
                <w:lang w:val="en-US"/>
              </w:rPr>
            </w:pPr>
            <w:r>
              <w:t>Technical Specifications: Below the minimum requirements that the electronic stethoscope must fulfill. It is obvious that offers with better specifications would be accepted. To provide Bluetooth connectivity so as to be compatible with integrated platforms of communication and telemedicine. Electronicstethoscope of high-performance suitable for the auscultation of children and adults. Sound amplification can be useful if the heart, lung or body sounds are particularly faint, if the patient is obese, or if the patient’s clothing restricts your listening experience, which makes this stethoscope ideal for diagnostic purposes e.g. in cardiology. Ambient Noise Reduction (ANR) cancels out, on average, 85% of ambient background Noise. With LCD displaying importance information of the operation of the stethoscope. Bluetooth connectivity to easily transfer data to PCs. To operate on a standard AA battery. Accessories User Manual Warranty of good operation and support 1 year warranty. Technical support (Official statement by the supplier).</w:t>
            </w:r>
          </w:p>
        </w:tc>
        <w:tc>
          <w:tcPr>
            <w:tcW w:w="4253" w:type="dxa"/>
          </w:tcPr>
          <w:p w:rsidR="002F755D" w:rsidRPr="002B0798" w:rsidRDefault="002F755D" w:rsidP="00AF4E19">
            <w:pPr>
              <w:rPr>
                <w:rFonts w:ascii="Times New Roman" w:hAnsi="Times New Roman" w:cs="Times New Roman"/>
                <w:b/>
                <w:bCs/>
                <w:lang w:val="en-GB"/>
              </w:rPr>
            </w:pPr>
          </w:p>
        </w:tc>
        <w:tc>
          <w:tcPr>
            <w:tcW w:w="2835" w:type="dxa"/>
          </w:tcPr>
          <w:p w:rsidR="002F755D" w:rsidRPr="002B0798" w:rsidRDefault="002F755D" w:rsidP="00AF4E19">
            <w:pPr>
              <w:rPr>
                <w:rFonts w:ascii="Times New Roman" w:hAnsi="Times New Roman" w:cs="Times New Roman"/>
                <w:b/>
                <w:bCs/>
                <w:lang w:val="en-GB"/>
              </w:rPr>
            </w:pPr>
          </w:p>
        </w:tc>
        <w:tc>
          <w:tcPr>
            <w:tcW w:w="1984" w:type="dxa"/>
          </w:tcPr>
          <w:p w:rsidR="002F755D" w:rsidRPr="002B0798" w:rsidRDefault="002F755D" w:rsidP="00AF4E19">
            <w:pPr>
              <w:tabs>
                <w:tab w:val="left" w:pos="729"/>
              </w:tabs>
              <w:jc w:val="center"/>
              <w:rPr>
                <w:rFonts w:ascii="Times New Roman" w:hAnsi="Times New Roman" w:cs="Times New Roman"/>
                <w:b/>
                <w:bCs/>
                <w:lang w:val="en-GB"/>
              </w:rPr>
            </w:pPr>
          </w:p>
        </w:tc>
      </w:tr>
      <w:tr w:rsidR="002F755D" w:rsidRPr="000726B9">
        <w:tblPrEx>
          <w:tblCellMar>
            <w:top w:w="0" w:type="dxa"/>
            <w:bottom w:w="0" w:type="dxa"/>
          </w:tblCellMar>
        </w:tblPrEx>
        <w:trPr>
          <w:cantSplit/>
        </w:trPr>
        <w:tc>
          <w:tcPr>
            <w:tcW w:w="1134" w:type="dxa"/>
          </w:tcPr>
          <w:p w:rsidR="002F755D" w:rsidRPr="0035202F" w:rsidRDefault="002F755D" w:rsidP="00AF4E19">
            <w:pPr>
              <w:spacing w:after="0"/>
              <w:jc w:val="center"/>
              <w:rPr>
                <w:b/>
                <w:bCs/>
                <w:lang w:val="en-US"/>
              </w:rPr>
            </w:pPr>
            <w:r>
              <w:rPr>
                <w:b/>
                <w:bCs/>
                <w:lang w:val="en-US"/>
              </w:rPr>
              <w:t>4</w:t>
            </w:r>
          </w:p>
        </w:tc>
        <w:tc>
          <w:tcPr>
            <w:tcW w:w="4678" w:type="dxa"/>
          </w:tcPr>
          <w:p w:rsidR="002F755D" w:rsidRDefault="002F755D" w:rsidP="00AF4E19">
            <w:pPr>
              <w:spacing w:after="0"/>
            </w:pPr>
            <w:r>
              <w:t xml:space="preserve">ECG 12 channel with monitor Quantity: One (1) </w:t>
            </w:r>
          </w:p>
          <w:p w:rsidR="002F755D" w:rsidRPr="00F2256F" w:rsidRDefault="002F755D" w:rsidP="00AF4E19">
            <w:pPr>
              <w:spacing w:after="0"/>
              <w:rPr>
                <w:lang w:val="en-US"/>
              </w:rPr>
            </w:pPr>
            <w:r>
              <w:t>Technical Specifications: Below the minimum requirements that the ECG must fulfill. It is obvious that offers with better specifications would be accepted. To provide Bluetooth connectivity so as to be compatible with integrated platforms of communication and telemedicine. Operating also with batteries and with alarm light of low battery  Wireless data transfer via Bluetooth Signal Processing HighPassFilter:0.05Hz LowPassFilter:150 Hzwith Baseline Correction. A/DSampling:24 Bit@ 1000Samples/Sec RecordedECGResolution: 500Samples/Sec; 16bit Lead Recording Length: 10sec for each lead Storage Capacity: Single event and Memory Type: Flash (optional) Real Time Clock: Time stamp for every event  Input Amplifier Frequency Response: 0.05 - 300Hz, CMRR Ratio: &gt;90dB (@ 50Hz/60Hz), Input Range: ± 5mV Input range ± 400mV ECG Channel: 12 Leads Pacemaker Detection: Yes Input Source: 10 leads patient cable Patient Cable Electrodes: Disposable or none disposable electrodes No calibration required Support Bluetooth SupportforGNU/GPLlicenses DataencryptionandProtocols https &amp; SSL (optional CE Marked if applicable) Accessories User Manual Warranty of good operation and support 1 year warranty. Technical support (Official statement by the supplier).</w:t>
            </w:r>
          </w:p>
        </w:tc>
        <w:tc>
          <w:tcPr>
            <w:tcW w:w="4253" w:type="dxa"/>
          </w:tcPr>
          <w:p w:rsidR="002F755D" w:rsidRPr="000726B9" w:rsidRDefault="002F755D" w:rsidP="00AF4E19">
            <w:pPr>
              <w:rPr>
                <w:rFonts w:ascii="Times New Roman" w:hAnsi="Times New Roman" w:cs="Times New Roman"/>
                <w:b/>
                <w:bCs/>
                <w:highlight w:val="green"/>
                <w:lang w:val="en-GB"/>
              </w:rPr>
            </w:pPr>
          </w:p>
        </w:tc>
        <w:tc>
          <w:tcPr>
            <w:tcW w:w="2835" w:type="dxa"/>
          </w:tcPr>
          <w:p w:rsidR="002F755D" w:rsidRPr="000726B9" w:rsidRDefault="002F755D" w:rsidP="00AF4E19">
            <w:pPr>
              <w:rPr>
                <w:rFonts w:ascii="Times New Roman" w:hAnsi="Times New Roman" w:cs="Times New Roman"/>
                <w:b/>
                <w:bCs/>
                <w:highlight w:val="green"/>
                <w:lang w:val="en-GB"/>
              </w:rPr>
            </w:pPr>
          </w:p>
        </w:tc>
        <w:tc>
          <w:tcPr>
            <w:tcW w:w="1984" w:type="dxa"/>
          </w:tcPr>
          <w:p w:rsidR="002F755D" w:rsidRPr="000726B9" w:rsidRDefault="002F755D" w:rsidP="00AF4E19">
            <w:pPr>
              <w:rPr>
                <w:rFonts w:ascii="Times New Roman" w:hAnsi="Times New Roman" w:cs="Times New Roman"/>
                <w:b/>
                <w:bCs/>
                <w:highlight w:val="green"/>
                <w:lang w:val="en-GB"/>
              </w:rPr>
            </w:pPr>
          </w:p>
        </w:tc>
      </w:tr>
      <w:tr w:rsidR="002F755D" w:rsidRPr="0061283F">
        <w:tblPrEx>
          <w:tblCellMar>
            <w:top w:w="0" w:type="dxa"/>
            <w:bottom w:w="0" w:type="dxa"/>
          </w:tblCellMar>
        </w:tblPrEx>
        <w:trPr>
          <w:cantSplit/>
        </w:trPr>
        <w:tc>
          <w:tcPr>
            <w:tcW w:w="1134" w:type="dxa"/>
          </w:tcPr>
          <w:p w:rsidR="002F755D" w:rsidRPr="0035202F" w:rsidRDefault="002F755D" w:rsidP="00AF4E19">
            <w:pPr>
              <w:spacing w:after="0"/>
              <w:jc w:val="center"/>
              <w:rPr>
                <w:b/>
                <w:bCs/>
                <w:lang w:val="en-US"/>
              </w:rPr>
            </w:pPr>
            <w:r>
              <w:rPr>
                <w:b/>
                <w:bCs/>
                <w:lang w:val="en-US"/>
              </w:rPr>
              <w:t>5</w:t>
            </w:r>
          </w:p>
        </w:tc>
        <w:tc>
          <w:tcPr>
            <w:tcW w:w="4678" w:type="dxa"/>
          </w:tcPr>
          <w:p w:rsidR="002F755D" w:rsidRPr="0061283F" w:rsidRDefault="002F755D" w:rsidP="00AF4E19">
            <w:pPr>
              <w:spacing w:after="0"/>
            </w:pPr>
            <w:r>
              <w:t xml:space="preserve">Spirometer Quantity: One (1) Technical Specifications: Below the minimum requirements that the spirometer must fulfill. It is obvious that offers with better specifications would be accepted. To provide Bluetooth connectivity so as to be compatible with integrated platforms of communication and telemedicine. Memory Capacity up to 10.000 records. Rechargeable battery duration of at least 30 hrs. To perform tests in real time with a wireless connection (Bluetooth®) Simply and clearly to measure SpO2* (saturation) andpulse rate with a plethysmographic curve. Wide array of sensors, adults, children, and infants, including ear sensor. Energy Supply: BatteryLithium 3.7 V, 1100 mA, rechargeable via USB. Connectivity: USB, Bluetooth ® 2.1 BasicParametersthatshouldberecorded: VC, IVC, IC, ERV, FVC, FEV1, FEV1%, PEF, FEF 25-75%, FET, EVOL (ExtrapolatedVolume), ELA (EstimatedLungAge),FEV1/FVC%, DTPEF (tempodisalitaPEF), FEV 0.5, FEV0.5/FVC%, FEV0.75, FEV0.75/FVC%, FEV2,FEV2/FVC%, FEV3, FEV3/FVC%, FEV6, FEV1/FEV6%, FEF25%, FEF50%, FEF75%, FEF 75-85, FIVC, FIV1,FIV1/FIVC%, FIF25%, FIF50%, FIF75%, R50, PIF, IRV, VT (instantvolume), VE (minuteventilation) Oximetry parameters measured Min-Max-Average SpO2, Pulse Rate Range-Media, test duration, T90% [time SpO2 &lt;= 89%], T89% [time SpO2 &lt;= 88%], Total Events SpO2, T40 (time Bradycardia with Frequency pulse 120 BPM) Support Bluetooth </w:t>
            </w:r>
          </w:p>
        </w:tc>
        <w:tc>
          <w:tcPr>
            <w:tcW w:w="4253" w:type="dxa"/>
          </w:tcPr>
          <w:p w:rsidR="002F755D" w:rsidRPr="0061283F" w:rsidRDefault="002F755D" w:rsidP="00AF4E19">
            <w:pPr>
              <w:rPr>
                <w:rFonts w:ascii="Times New Roman" w:hAnsi="Times New Roman" w:cs="Times New Roman"/>
                <w:b/>
                <w:bCs/>
                <w:highlight w:val="green"/>
              </w:rPr>
            </w:pPr>
          </w:p>
        </w:tc>
        <w:tc>
          <w:tcPr>
            <w:tcW w:w="2835" w:type="dxa"/>
          </w:tcPr>
          <w:p w:rsidR="002F755D" w:rsidRPr="0061283F" w:rsidRDefault="002F755D" w:rsidP="00AF4E19">
            <w:pPr>
              <w:rPr>
                <w:rFonts w:ascii="Times New Roman" w:hAnsi="Times New Roman" w:cs="Times New Roman"/>
                <w:b/>
                <w:bCs/>
                <w:highlight w:val="green"/>
              </w:rPr>
            </w:pPr>
          </w:p>
        </w:tc>
        <w:tc>
          <w:tcPr>
            <w:tcW w:w="1984" w:type="dxa"/>
          </w:tcPr>
          <w:p w:rsidR="002F755D" w:rsidRPr="0061283F" w:rsidRDefault="002F755D" w:rsidP="00AF4E19">
            <w:pPr>
              <w:rPr>
                <w:rFonts w:ascii="Times New Roman" w:hAnsi="Times New Roman" w:cs="Times New Roman"/>
                <w:b/>
                <w:bCs/>
                <w:highlight w:val="green"/>
              </w:rPr>
            </w:pPr>
          </w:p>
        </w:tc>
      </w:tr>
      <w:tr w:rsidR="002F755D" w:rsidRPr="000726B9">
        <w:tblPrEx>
          <w:tblCellMar>
            <w:top w:w="0" w:type="dxa"/>
            <w:bottom w:w="0" w:type="dxa"/>
          </w:tblCellMar>
        </w:tblPrEx>
        <w:trPr>
          <w:cantSplit/>
        </w:trPr>
        <w:tc>
          <w:tcPr>
            <w:tcW w:w="1134" w:type="dxa"/>
          </w:tcPr>
          <w:p w:rsidR="002F755D" w:rsidRPr="0061283F" w:rsidRDefault="002F755D" w:rsidP="00AF4E19">
            <w:pPr>
              <w:spacing w:after="0"/>
              <w:jc w:val="center"/>
            </w:pPr>
          </w:p>
        </w:tc>
        <w:tc>
          <w:tcPr>
            <w:tcW w:w="4678" w:type="dxa"/>
          </w:tcPr>
          <w:p w:rsidR="002F755D" w:rsidRPr="00F2256F" w:rsidRDefault="002F755D" w:rsidP="00AF4E19">
            <w:pPr>
              <w:spacing w:after="0"/>
              <w:rPr>
                <w:lang w:val="en-US"/>
              </w:rPr>
            </w:pPr>
            <w:r>
              <w:t>Support for GNU/GPL licenses Data encryption and Protocols https &amp; SSL (optional CE Marked if applicable)  Accessories User Manual Warranty of good operation and support 1 year warranty. Technical support (Official statement by the supplier)</w:t>
            </w:r>
          </w:p>
        </w:tc>
        <w:tc>
          <w:tcPr>
            <w:tcW w:w="4253" w:type="dxa"/>
          </w:tcPr>
          <w:p w:rsidR="002F755D" w:rsidRPr="000726B9" w:rsidRDefault="002F755D" w:rsidP="00AF4E19">
            <w:pPr>
              <w:rPr>
                <w:rFonts w:ascii="Times New Roman" w:hAnsi="Times New Roman" w:cs="Times New Roman"/>
                <w:b/>
                <w:bCs/>
                <w:highlight w:val="green"/>
                <w:lang w:val="en-GB"/>
              </w:rPr>
            </w:pPr>
          </w:p>
        </w:tc>
        <w:tc>
          <w:tcPr>
            <w:tcW w:w="2835" w:type="dxa"/>
          </w:tcPr>
          <w:p w:rsidR="002F755D" w:rsidRPr="000726B9" w:rsidRDefault="002F755D" w:rsidP="00AF4E19">
            <w:pPr>
              <w:rPr>
                <w:rFonts w:ascii="Times New Roman" w:hAnsi="Times New Roman" w:cs="Times New Roman"/>
                <w:b/>
                <w:bCs/>
                <w:highlight w:val="green"/>
                <w:lang w:val="en-GB"/>
              </w:rPr>
            </w:pPr>
          </w:p>
        </w:tc>
        <w:tc>
          <w:tcPr>
            <w:tcW w:w="1984" w:type="dxa"/>
          </w:tcPr>
          <w:p w:rsidR="002F755D" w:rsidRPr="000726B9" w:rsidRDefault="002F755D" w:rsidP="00AF4E19">
            <w:pPr>
              <w:rPr>
                <w:rFonts w:ascii="Times New Roman" w:hAnsi="Times New Roman" w:cs="Times New Roman"/>
                <w:b/>
                <w:bCs/>
                <w:highlight w:val="green"/>
                <w:lang w:val="en-GB"/>
              </w:rPr>
            </w:pPr>
          </w:p>
        </w:tc>
      </w:tr>
      <w:tr w:rsidR="002F755D" w:rsidRPr="000726B9">
        <w:tblPrEx>
          <w:tblCellMar>
            <w:top w:w="0" w:type="dxa"/>
            <w:bottom w:w="0" w:type="dxa"/>
          </w:tblCellMar>
        </w:tblPrEx>
        <w:trPr>
          <w:cantSplit/>
        </w:trPr>
        <w:tc>
          <w:tcPr>
            <w:tcW w:w="1134" w:type="dxa"/>
          </w:tcPr>
          <w:p w:rsidR="002F755D" w:rsidRPr="0035202F" w:rsidRDefault="002F755D" w:rsidP="00AF4E19">
            <w:pPr>
              <w:spacing w:after="0"/>
              <w:jc w:val="center"/>
              <w:rPr>
                <w:b/>
                <w:bCs/>
                <w:lang w:val="en-US"/>
              </w:rPr>
            </w:pPr>
            <w:r>
              <w:rPr>
                <w:b/>
                <w:bCs/>
                <w:lang w:val="en-US"/>
              </w:rPr>
              <w:t>6</w:t>
            </w:r>
          </w:p>
        </w:tc>
        <w:tc>
          <w:tcPr>
            <w:tcW w:w="4678" w:type="dxa"/>
          </w:tcPr>
          <w:p w:rsidR="002F755D" w:rsidRDefault="002F755D" w:rsidP="00AF4E19">
            <w:pPr>
              <w:spacing w:after="0"/>
            </w:pPr>
            <w:r>
              <w:t xml:space="preserve">Blood pressure monitor device with ankle brachial index(ABI) and inter arm difference determination. Quantity: One (1) </w:t>
            </w:r>
          </w:p>
          <w:p w:rsidR="002F755D" w:rsidRPr="00F2256F" w:rsidRDefault="002F755D" w:rsidP="00AF4E19">
            <w:pPr>
              <w:spacing w:after="0"/>
              <w:rPr>
                <w:lang w:val="en-US"/>
              </w:rPr>
            </w:pPr>
            <w:r>
              <w:t>Technical Specifications: Below the minimum requirements that the pressure monitor device with ABI determination must fulfill. It is obvious that offers with better specifications would be accepted. To provide Bluetooth connectivity so as to be compatible with integrated platforms of communication and telemedicine. ABI - Simultaneous ankle and upper arm measurement to the preferred measurement side in the supine position. Mean Arterial Pressure (MAP) and Pulse Pressure (PP) values displayed during measurement review. Automatic inflation pressure for all modes determined using fuzzy logic technology. Supplied with main unit, 2x std adult cuff (22-32 cm), 2 x large adult cuff (32-42 cm), 1 x std adult ankle cuff (22-32cm), mains adaptor, rechargeable battery pack, serial to USB convertor cable, Analyzer software cd and full instructions. Support Bluetooth Support for GNU/GPL licenses Data encryption and Protocols https &amp; SSL (optional CE Marked if applicable) Accessories User Manual Warranty of good operation and support 1 year warranty. Technical support (Official statement by the supplier).</w:t>
            </w:r>
          </w:p>
        </w:tc>
        <w:tc>
          <w:tcPr>
            <w:tcW w:w="4253" w:type="dxa"/>
          </w:tcPr>
          <w:p w:rsidR="002F755D" w:rsidRPr="000726B9" w:rsidRDefault="002F755D" w:rsidP="00AF4E19">
            <w:pPr>
              <w:rPr>
                <w:rFonts w:ascii="Times New Roman" w:hAnsi="Times New Roman" w:cs="Times New Roman"/>
                <w:b/>
                <w:bCs/>
                <w:highlight w:val="green"/>
                <w:lang w:val="en-GB"/>
              </w:rPr>
            </w:pPr>
          </w:p>
        </w:tc>
        <w:tc>
          <w:tcPr>
            <w:tcW w:w="2835" w:type="dxa"/>
          </w:tcPr>
          <w:p w:rsidR="002F755D" w:rsidRPr="000726B9" w:rsidRDefault="002F755D" w:rsidP="00AF4E19">
            <w:pPr>
              <w:rPr>
                <w:rFonts w:ascii="Times New Roman" w:hAnsi="Times New Roman" w:cs="Times New Roman"/>
                <w:b/>
                <w:bCs/>
                <w:highlight w:val="green"/>
                <w:lang w:val="en-GB"/>
              </w:rPr>
            </w:pPr>
          </w:p>
        </w:tc>
        <w:tc>
          <w:tcPr>
            <w:tcW w:w="1984" w:type="dxa"/>
          </w:tcPr>
          <w:p w:rsidR="002F755D" w:rsidRPr="000726B9" w:rsidRDefault="002F755D" w:rsidP="00AF4E19">
            <w:pPr>
              <w:rPr>
                <w:rFonts w:ascii="Times New Roman" w:hAnsi="Times New Roman" w:cs="Times New Roman"/>
                <w:b/>
                <w:bCs/>
                <w:highlight w:val="green"/>
                <w:lang w:val="en-GB"/>
              </w:rPr>
            </w:pPr>
          </w:p>
        </w:tc>
      </w:tr>
      <w:tr w:rsidR="002F755D" w:rsidRPr="000726B9">
        <w:tblPrEx>
          <w:tblCellMar>
            <w:top w:w="0" w:type="dxa"/>
            <w:bottom w:w="0" w:type="dxa"/>
          </w:tblCellMar>
        </w:tblPrEx>
        <w:trPr>
          <w:cantSplit/>
        </w:trPr>
        <w:tc>
          <w:tcPr>
            <w:tcW w:w="1134" w:type="dxa"/>
          </w:tcPr>
          <w:p w:rsidR="002F755D" w:rsidRPr="0035202F" w:rsidRDefault="002F755D" w:rsidP="00AF4E19">
            <w:pPr>
              <w:spacing w:after="0"/>
              <w:jc w:val="center"/>
              <w:rPr>
                <w:b/>
                <w:bCs/>
                <w:lang w:val="en-US"/>
              </w:rPr>
            </w:pPr>
            <w:r>
              <w:rPr>
                <w:b/>
                <w:bCs/>
                <w:lang w:val="en-US"/>
              </w:rPr>
              <w:t>7</w:t>
            </w:r>
          </w:p>
        </w:tc>
        <w:tc>
          <w:tcPr>
            <w:tcW w:w="4678" w:type="dxa"/>
          </w:tcPr>
          <w:p w:rsidR="002F755D" w:rsidRDefault="002F755D" w:rsidP="00AF4E19">
            <w:pPr>
              <w:spacing w:after="0"/>
            </w:pPr>
            <w:r>
              <w:t>Foot Scanner Quantity: One (1)</w:t>
            </w:r>
          </w:p>
          <w:p w:rsidR="002F755D" w:rsidRPr="00F2256F" w:rsidRDefault="002F755D" w:rsidP="00AF4E19">
            <w:pPr>
              <w:spacing w:after="0"/>
              <w:rPr>
                <w:lang w:val="en-US"/>
              </w:rPr>
            </w:pPr>
            <w:r>
              <w:t xml:space="preserve"> Technical Specifications: Below the minimum requirements that the foot scanner must fulfill. It is obvious that offers with better specifications would be accepted. To provide Bluetooth connectivity so as to be compatible with integrated platforms of communication and telemedicine. Foot Scanner for assessment, diagnosis,prevention and treatment method, through lower extremity data analysis. Theanalysis should be based on data from thousand sensors, connected to a computer providingabsolutely accurate information aiming at the creation of individual, custom-madeorthotic insoles. The Foot scan provides information regarding high stress regions ofthe Foot, as well as the distribution and timings of the stresses, the pressure points,the body center of mass, and a full gait analysis. The device should be portable with static and dynamic foot examination. Support Bluetooth Support for GNU/GPL licenses Data encryption and Protocols https &amp; SSL (optional CE Marked if applicable) Accessories User Manual Warranty of good operation and support 1 year warranty. Technical support (Official statement by the supplier).</w:t>
            </w:r>
          </w:p>
        </w:tc>
        <w:tc>
          <w:tcPr>
            <w:tcW w:w="4253" w:type="dxa"/>
          </w:tcPr>
          <w:p w:rsidR="002F755D" w:rsidRPr="000726B9" w:rsidRDefault="002F755D" w:rsidP="00AF4E19">
            <w:pPr>
              <w:rPr>
                <w:rFonts w:ascii="Times New Roman" w:hAnsi="Times New Roman" w:cs="Times New Roman"/>
                <w:b/>
                <w:bCs/>
                <w:highlight w:val="green"/>
                <w:lang w:val="en-GB"/>
              </w:rPr>
            </w:pPr>
          </w:p>
        </w:tc>
        <w:tc>
          <w:tcPr>
            <w:tcW w:w="2835" w:type="dxa"/>
          </w:tcPr>
          <w:p w:rsidR="002F755D" w:rsidRPr="000726B9" w:rsidRDefault="002F755D" w:rsidP="00AF4E19">
            <w:pPr>
              <w:rPr>
                <w:rFonts w:ascii="Times New Roman" w:hAnsi="Times New Roman" w:cs="Times New Roman"/>
                <w:b/>
                <w:bCs/>
                <w:highlight w:val="green"/>
                <w:lang w:val="en-GB"/>
              </w:rPr>
            </w:pPr>
          </w:p>
        </w:tc>
        <w:tc>
          <w:tcPr>
            <w:tcW w:w="1984" w:type="dxa"/>
          </w:tcPr>
          <w:p w:rsidR="002F755D" w:rsidRPr="000726B9" w:rsidRDefault="002F755D" w:rsidP="00AF4E19">
            <w:pPr>
              <w:rPr>
                <w:rFonts w:ascii="Times New Roman" w:hAnsi="Times New Roman" w:cs="Times New Roman"/>
                <w:b/>
                <w:bCs/>
                <w:highlight w:val="green"/>
                <w:lang w:val="en-GB"/>
              </w:rPr>
            </w:pPr>
          </w:p>
        </w:tc>
      </w:tr>
      <w:tr w:rsidR="002F755D" w:rsidRPr="000726B9">
        <w:tblPrEx>
          <w:tblCellMar>
            <w:top w:w="0" w:type="dxa"/>
            <w:bottom w:w="0" w:type="dxa"/>
          </w:tblCellMar>
        </w:tblPrEx>
        <w:trPr>
          <w:cantSplit/>
        </w:trPr>
        <w:tc>
          <w:tcPr>
            <w:tcW w:w="1134" w:type="dxa"/>
          </w:tcPr>
          <w:p w:rsidR="002F755D" w:rsidRPr="0035202F" w:rsidRDefault="002F755D" w:rsidP="00AF4E19">
            <w:pPr>
              <w:spacing w:after="0"/>
              <w:jc w:val="center"/>
              <w:rPr>
                <w:b/>
                <w:bCs/>
                <w:lang w:val="en-US"/>
              </w:rPr>
            </w:pPr>
            <w:r>
              <w:rPr>
                <w:b/>
                <w:bCs/>
                <w:lang w:val="en-US"/>
              </w:rPr>
              <w:t>8</w:t>
            </w:r>
          </w:p>
        </w:tc>
        <w:tc>
          <w:tcPr>
            <w:tcW w:w="4678" w:type="dxa"/>
          </w:tcPr>
          <w:p w:rsidR="002F755D" w:rsidRDefault="002F755D" w:rsidP="00AF4E19">
            <w:pPr>
              <w:spacing w:after="0"/>
            </w:pPr>
            <w:r>
              <w:t xml:space="preserve">Advanced Glycated End-Products Monitoring Device (AGEREADER) Quantity: One (1) </w:t>
            </w:r>
          </w:p>
          <w:p w:rsidR="002F755D" w:rsidRPr="00F2256F" w:rsidRDefault="002F755D" w:rsidP="00AF4E19">
            <w:pPr>
              <w:spacing w:after="0"/>
              <w:rPr>
                <w:lang w:val="en-US"/>
              </w:rPr>
            </w:pPr>
            <w:r>
              <w:t>Technical Specifications: Below the minimum requirements that the AGEs Reader must fulfill. It is obvious that offers with better specifications would be accepted. To provide Bluetooth connectivity so as to be compatible with integrated platforms of communication and telemedicine. Testing of Advanced Glycated End-Products in a non-invasive way, painlessly for cardiovascular risk assessment. The AGE Reader should measure tissue accumulation of Advanced GlycationEnd-products (AGEs) by meansof fluorescence techniques(skin auto fluorescence (skin AF)). (optional CE marked if applicable). LCDMonitor. Memory capacity at least 200 measurements. PC software connectivity for data transfer and printing options. Literature publications at least 100 in solid and valued scientific journals related to the device. Data Transfer Option Support Bluetooth Support for GNU/GPL licenses Data encryption and Protocols https &amp; SSL (optional CE Marked if applicable) Accessories User Manual Warranty of good operation and support 1 year warranty. Technical support (Official statement by the supplier).</w:t>
            </w:r>
          </w:p>
        </w:tc>
        <w:tc>
          <w:tcPr>
            <w:tcW w:w="4253" w:type="dxa"/>
          </w:tcPr>
          <w:p w:rsidR="002F755D" w:rsidRPr="000726B9" w:rsidRDefault="002F755D" w:rsidP="00AF4E19">
            <w:pPr>
              <w:rPr>
                <w:rFonts w:ascii="Times New Roman" w:hAnsi="Times New Roman" w:cs="Times New Roman"/>
                <w:b/>
                <w:bCs/>
                <w:highlight w:val="green"/>
                <w:lang w:val="en-GB"/>
              </w:rPr>
            </w:pPr>
          </w:p>
        </w:tc>
        <w:tc>
          <w:tcPr>
            <w:tcW w:w="2835" w:type="dxa"/>
          </w:tcPr>
          <w:p w:rsidR="002F755D" w:rsidRPr="000726B9" w:rsidRDefault="002F755D" w:rsidP="00AF4E19">
            <w:pPr>
              <w:rPr>
                <w:rFonts w:ascii="Times New Roman" w:hAnsi="Times New Roman" w:cs="Times New Roman"/>
                <w:b/>
                <w:bCs/>
                <w:highlight w:val="green"/>
                <w:lang w:val="en-GB"/>
              </w:rPr>
            </w:pPr>
          </w:p>
        </w:tc>
        <w:tc>
          <w:tcPr>
            <w:tcW w:w="1984" w:type="dxa"/>
          </w:tcPr>
          <w:p w:rsidR="002F755D" w:rsidRPr="000726B9" w:rsidRDefault="002F755D" w:rsidP="00AF4E19">
            <w:pPr>
              <w:rPr>
                <w:rFonts w:ascii="Times New Roman" w:hAnsi="Times New Roman" w:cs="Times New Roman"/>
                <w:b/>
                <w:bCs/>
                <w:highlight w:val="green"/>
                <w:lang w:val="en-GB"/>
              </w:rPr>
            </w:pPr>
          </w:p>
        </w:tc>
      </w:tr>
      <w:tr w:rsidR="002F755D" w:rsidRPr="000726B9">
        <w:tblPrEx>
          <w:tblCellMar>
            <w:top w:w="0" w:type="dxa"/>
            <w:bottom w:w="0" w:type="dxa"/>
          </w:tblCellMar>
        </w:tblPrEx>
        <w:trPr>
          <w:cantSplit/>
        </w:trPr>
        <w:tc>
          <w:tcPr>
            <w:tcW w:w="1134" w:type="dxa"/>
          </w:tcPr>
          <w:p w:rsidR="002F755D" w:rsidRPr="0035202F" w:rsidRDefault="002F755D" w:rsidP="00AF4E19">
            <w:pPr>
              <w:spacing w:after="0"/>
              <w:rPr>
                <w:b/>
                <w:bCs/>
                <w:lang w:val="en-US"/>
              </w:rPr>
            </w:pPr>
          </w:p>
        </w:tc>
        <w:tc>
          <w:tcPr>
            <w:tcW w:w="4678" w:type="dxa"/>
          </w:tcPr>
          <w:p w:rsidR="002F755D" w:rsidRPr="00F2256F" w:rsidRDefault="002F755D" w:rsidP="00AF4E19">
            <w:pPr>
              <w:spacing w:after="0"/>
              <w:rPr>
                <w:lang w:val="en-US"/>
              </w:rPr>
            </w:pPr>
          </w:p>
        </w:tc>
        <w:tc>
          <w:tcPr>
            <w:tcW w:w="4253" w:type="dxa"/>
          </w:tcPr>
          <w:p w:rsidR="002F755D" w:rsidRPr="000726B9" w:rsidRDefault="002F755D" w:rsidP="00AF4E19">
            <w:pPr>
              <w:rPr>
                <w:rFonts w:ascii="Times New Roman" w:hAnsi="Times New Roman" w:cs="Times New Roman"/>
                <w:b/>
                <w:bCs/>
                <w:highlight w:val="green"/>
                <w:lang w:val="en-GB"/>
              </w:rPr>
            </w:pPr>
          </w:p>
        </w:tc>
        <w:tc>
          <w:tcPr>
            <w:tcW w:w="2835" w:type="dxa"/>
          </w:tcPr>
          <w:p w:rsidR="002F755D" w:rsidRPr="000726B9" w:rsidRDefault="002F755D" w:rsidP="00AF4E19">
            <w:pPr>
              <w:rPr>
                <w:rFonts w:ascii="Times New Roman" w:hAnsi="Times New Roman" w:cs="Times New Roman"/>
                <w:b/>
                <w:bCs/>
                <w:highlight w:val="green"/>
                <w:lang w:val="en-GB"/>
              </w:rPr>
            </w:pPr>
          </w:p>
        </w:tc>
        <w:tc>
          <w:tcPr>
            <w:tcW w:w="1984" w:type="dxa"/>
          </w:tcPr>
          <w:p w:rsidR="002F755D" w:rsidRPr="000726B9" w:rsidRDefault="002F755D" w:rsidP="00AF4E19">
            <w:pPr>
              <w:rPr>
                <w:rFonts w:ascii="Times New Roman" w:hAnsi="Times New Roman" w:cs="Times New Roman"/>
                <w:b/>
                <w:bCs/>
                <w:highlight w:val="green"/>
                <w:lang w:val="en-GB"/>
              </w:rPr>
            </w:pPr>
          </w:p>
        </w:tc>
      </w:tr>
      <w:tr w:rsidR="002F755D" w:rsidRPr="000726B9">
        <w:tblPrEx>
          <w:tblCellMar>
            <w:top w:w="0" w:type="dxa"/>
            <w:bottom w:w="0" w:type="dxa"/>
          </w:tblCellMar>
        </w:tblPrEx>
        <w:trPr>
          <w:cantSplit/>
        </w:trPr>
        <w:tc>
          <w:tcPr>
            <w:tcW w:w="1134" w:type="dxa"/>
          </w:tcPr>
          <w:p w:rsidR="002F755D" w:rsidRPr="0035202F" w:rsidRDefault="002F755D" w:rsidP="00AF4E19">
            <w:pPr>
              <w:spacing w:after="0"/>
              <w:jc w:val="center"/>
              <w:rPr>
                <w:b/>
                <w:bCs/>
                <w:lang w:val="en-US"/>
              </w:rPr>
            </w:pPr>
            <w:r>
              <w:rPr>
                <w:b/>
                <w:bCs/>
                <w:lang w:val="en-US"/>
              </w:rPr>
              <w:t>9</w:t>
            </w:r>
          </w:p>
        </w:tc>
        <w:tc>
          <w:tcPr>
            <w:tcW w:w="4678" w:type="dxa"/>
          </w:tcPr>
          <w:p w:rsidR="002F755D" w:rsidRPr="00F2256F" w:rsidRDefault="002F755D" w:rsidP="00AF4E19">
            <w:pPr>
              <w:spacing w:after="0"/>
              <w:rPr>
                <w:lang w:val="en-US"/>
              </w:rPr>
            </w:pPr>
            <w:r>
              <w:t>Pulse Oximeter Finger Pulse Blood OxygenSPO2 Monitor Quantity: One (1) Technical Specifications: Below the minimum requirements that the Pulse Oximeter must fulfill. It is obvious that offers with better specifications would be accepted. To provide Bluetooth connectivity so as to be compatible with integrated platforms of communication and telemedicine. Painless SpO2 saturation monitoring device and pulse rate detector. LED color display of high definition operating with batteries with autonomy of 40 hours. Low energy automode. Wireless data transfer in real time and to provide the option of connectivity with external devices. Range of measurements at least 60-99% Support for GNU/GPL licenses Data encryption and Protocols https &amp; SSL (optional CE Marked if applicable) Accessories User Manual Warranty of good operation and support 1 year warranty. Technical support (Official statement by the supplier).</w:t>
            </w:r>
          </w:p>
        </w:tc>
        <w:tc>
          <w:tcPr>
            <w:tcW w:w="4253" w:type="dxa"/>
          </w:tcPr>
          <w:p w:rsidR="002F755D" w:rsidRPr="000726B9" w:rsidRDefault="002F755D" w:rsidP="00AF4E19">
            <w:pPr>
              <w:rPr>
                <w:rFonts w:ascii="Times New Roman" w:hAnsi="Times New Roman" w:cs="Times New Roman"/>
                <w:b/>
                <w:bCs/>
                <w:highlight w:val="green"/>
                <w:lang w:val="en-GB"/>
              </w:rPr>
            </w:pPr>
          </w:p>
        </w:tc>
        <w:tc>
          <w:tcPr>
            <w:tcW w:w="2835" w:type="dxa"/>
          </w:tcPr>
          <w:p w:rsidR="002F755D" w:rsidRPr="000726B9" w:rsidRDefault="002F755D" w:rsidP="00AF4E19">
            <w:pPr>
              <w:rPr>
                <w:rFonts w:ascii="Times New Roman" w:hAnsi="Times New Roman" w:cs="Times New Roman"/>
                <w:b/>
                <w:bCs/>
                <w:highlight w:val="green"/>
                <w:lang w:val="en-GB"/>
              </w:rPr>
            </w:pPr>
          </w:p>
        </w:tc>
        <w:tc>
          <w:tcPr>
            <w:tcW w:w="1984" w:type="dxa"/>
          </w:tcPr>
          <w:p w:rsidR="002F755D" w:rsidRPr="000726B9" w:rsidRDefault="002F755D" w:rsidP="00AF4E19">
            <w:pPr>
              <w:rPr>
                <w:rFonts w:ascii="Times New Roman" w:hAnsi="Times New Roman" w:cs="Times New Roman"/>
                <w:b/>
                <w:bCs/>
                <w:highlight w:val="green"/>
                <w:lang w:val="en-GB"/>
              </w:rPr>
            </w:pPr>
          </w:p>
        </w:tc>
      </w:tr>
      <w:tr w:rsidR="002F755D" w:rsidRPr="000726B9">
        <w:tblPrEx>
          <w:tblCellMar>
            <w:top w:w="0" w:type="dxa"/>
            <w:bottom w:w="0" w:type="dxa"/>
          </w:tblCellMar>
        </w:tblPrEx>
        <w:trPr>
          <w:cantSplit/>
        </w:trPr>
        <w:tc>
          <w:tcPr>
            <w:tcW w:w="1134" w:type="dxa"/>
          </w:tcPr>
          <w:p w:rsidR="002F755D" w:rsidRPr="0035202F" w:rsidRDefault="002F755D" w:rsidP="00AF4E19">
            <w:pPr>
              <w:spacing w:after="0"/>
              <w:jc w:val="center"/>
              <w:rPr>
                <w:b/>
                <w:bCs/>
                <w:lang w:val="en-US"/>
              </w:rPr>
            </w:pPr>
            <w:r>
              <w:rPr>
                <w:b/>
                <w:bCs/>
                <w:lang w:val="en-US"/>
              </w:rPr>
              <w:t>10</w:t>
            </w:r>
          </w:p>
        </w:tc>
        <w:tc>
          <w:tcPr>
            <w:tcW w:w="4678" w:type="dxa"/>
          </w:tcPr>
          <w:p w:rsidR="002F755D" w:rsidRPr="00F2256F" w:rsidRDefault="002F755D" w:rsidP="00AF4E19">
            <w:pPr>
              <w:spacing w:after="0"/>
              <w:rPr>
                <w:lang w:val="en-US"/>
              </w:rPr>
            </w:pPr>
            <w:r>
              <w:t>Wireless Scale Quantity: One (1) Technical Specifications: Below the minimum requirements that the Wireless Scale must fulfill. It is obvious that offers with better specifications would be accepted. To provide Bluetooth connectivity so as to be compatible with integrated platforms of communication and telemedicine. To allow to: - measure weight, BMI (Body Mass Index), lean, bone, muscle, water mass body fat and visceral fat rating - estimate daily caloric intake - display room temperature and humidity - track data, graphs and history - store unlimited measurements - share patient’s medical data with his/her healthcare professional or family Wi-Fi Sync, easy installation. Secure and free data storage. Weight Range: 5 - 180 kg&amp;FatRange: 5% - 65% Body Fluids Range: 20% - 85%&amp;Abdomen Fat Range: 1 – 59 DCI (DailyCaloriesIntake): ±200 kcal Set in kg/lb. Support for GNU/GPL licenses Data encryption and Protocols https &amp; SSL (optional CE Marked if applicable) Accessories User Manual Warranty of good operation and support 1 year warranty. Technical support (Official statement by the supplier).</w:t>
            </w:r>
          </w:p>
        </w:tc>
        <w:tc>
          <w:tcPr>
            <w:tcW w:w="4253" w:type="dxa"/>
          </w:tcPr>
          <w:p w:rsidR="002F755D" w:rsidRPr="000726B9" w:rsidRDefault="002F755D" w:rsidP="00AF4E19">
            <w:pPr>
              <w:rPr>
                <w:rFonts w:ascii="Times New Roman" w:hAnsi="Times New Roman" w:cs="Times New Roman"/>
                <w:b/>
                <w:bCs/>
                <w:highlight w:val="green"/>
                <w:lang w:val="en-GB"/>
              </w:rPr>
            </w:pPr>
          </w:p>
        </w:tc>
        <w:tc>
          <w:tcPr>
            <w:tcW w:w="2835" w:type="dxa"/>
          </w:tcPr>
          <w:p w:rsidR="002F755D" w:rsidRPr="000726B9" w:rsidRDefault="002F755D" w:rsidP="00AF4E19">
            <w:pPr>
              <w:rPr>
                <w:rFonts w:ascii="Times New Roman" w:hAnsi="Times New Roman" w:cs="Times New Roman"/>
                <w:b/>
                <w:bCs/>
                <w:highlight w:val="green"/>
                <w:lang w:val="en-GB"/>
              </w:rPr>
            </w:pPr>
          </w:p>
        </w:tc>
        <w:tc>
          <w:tcPr>
            <w:tcW w:w="1984" w:type="dxa"/>
          </w:tcPr>
          <w:p w:rsidR="002F755D" w:rsidRPr="000726B9" w:rsidRDefault="002F755D" w:rsidP="00AF4E19">
            <w:pPr>
              <w:rPr>
                <w:rFonts w:ascii="Times New Roman" w:hAnsi="Times New Roman" w:cs="Times New Roman"/>
                <w:b/>
                <w:bCs/>
                <w:highlight w:val="green"/>
                <w:lang w:val="en-GB"/>
              </w:rPr>
            </w:pPr>
          </w:p>
        </w:tc>
      </w:tr>
    </w:tbl>
    <w:p w:rsidR="002F755D" w:rsidRPr="00D10EF9" w:rsidRDefault="002F755D" w:rsidP="0061283F">
      <w:pPr>
        <w:rPr>
          <w:rFonts w:ascii="Times New Roman" w:hAnsi="Times New Roman" w:cs="Times New Roman"/>
          <w:sz w:val="22"/>
          <w:szCs w:val="22"/>
          <w:lang w:val="en-GB"/>
        </w:rPr>
      </w:pPr>
    </w:p>
    <w:p w:rsidR="002F755D" w:rsidRPr="00D10EF9" w:rsidRDefault="002F755D" w:rsidP="00D10EF9">
      <w:pPr>
        <w:rPr>
          <w:rFonts w:ascii="Times New Roman" w:hAnsi="Times New Roman" w:cs="Times New Roman"/>
          <w:sz w:val="22"/>
          <w:szCs w:val="22"/>
          <w:lang w:val="en-GB"/>
        </w:rPr>
      </w:pPr>
    </w:p>
    <w:sectPr w:rsidR="002F755D" w:rsidRPr="00D10EF9" w:rsidSect="00D10EF9">
      <w:headerReference w:type="default" r:id="rId7"/>
      <w:footerReference w:type="default" r:id="rId8"/>
      <w:headerReference w:type="first" r:id="rId9"/>
      <w:footerReference w:type="first" r:id="rId10"/>
      <w:pgSz w:w="16838" w:h="11906" w:orient="landscape" w:code="9"/>
      <w:pgMar w:top="851" w:right="1134" w:bottom="1418"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55D" w:rsidRDefault="002F755D">
      <w:r>
        <w:separator/>
      </w:r>
    </w:p>
  </w:endnote>
  <w:endnote w:type="continuationSeparator" w:id="1">
    <w:p w:rsidR="002F755D" w:rsidRDefault="002F75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5D" w:rsidRPr="00C4214C" w:rsidRDefault="002F755D" w:rsidP="00B25580">
    <w:pPr>
      <w:pStyle w:val="Footer"/>
      <w:tabs>
        <w:tab w:val="clear" w:pos="4320"/>
        <w:tab w:val="clear" w:pos="8640"/>
        <w:tab w:val="right" w:pos="14317"/>
      </w:tabs>
      <w:spacing w:before="0" w:after="0"/>
      <w:rPr>
        <w:rFonts w:ascii="Times New Roman" w:hAnsi="Times New Roman" w:cs="Times New Roman"/>
        <w:sz w:val="18"/>
        <w:szCs w:val="18"/>
        <w:lang w:val="en-GB"/>
      </w:rPr>
    </w:pPr>
    <w:r w:rsidRPr="00622D13">
      <w:rPr>
        <w:rFonts w:ascii="Times New Roman" w:hAnsi="Times New Roman" w:cs="Times New Roman"/>
        <w:b/>
        <w:bCs/>
        <w:sz w:val="18"/>
        <w:szCs w:val="18"/>
        <w:lang w:val="en-GB"/>
      </w:rPr>
      <w:t>July 2019</w:t>
    </w:r>
    <w:bookmarkStart w:id="1" w:name="_GoBack"/>
    <w:bookmarkEnd w:id="1"/>
    <w:r w:rsidRPr="00C4214C">
      <w:rPr>
        <w:rFonts w:ascii="Times New Roman" w:hAnsi="Times New Roman" w:cs="Times New Roman"/>
        <w:sz w:val="18"/>
        <w:szCs w:val="18"/>
        <w:lang w:val="en-GB"/>
      </w:rPr>
      <w:tab/>
      <w:t xml:space="preserve">Page </w:t>
    </w:r>
    <w:r w:rsidRPr="00C4214C">
      <w:rPr>
        <w:rFonts w:ascii="Times New Roman" w:hAnsi="Times New Roman" w:cs="Times New Roman"/>
        <w:sz w:val="18"/>
        <w:szCs w:val="18"/>
        <w:lang w:val="en-GB"/>
      </w:rPr>
      <w:fldChar w:fldCharType="begin"/>
    </w:r>
    <w:r w:rsidRPr="00C4214C">
      <w:rPr>
        <w:rFonts w:ascii="Times New Roman" w:hAnsi="Times New Roman" w:cs="Times New Roman"/>
        <w:sz w:val="18"/>
        <w:szCs w:val="18"/>
        <w:lang w:val="en-GB"/>
      </w:rPr>
      <w:instrText xml:space="preserve"> PAGE </w:instrText>
    </w:r>
    <w:r w:rsidRPr="00C4214C">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5</w:t>
    </w:r>
    <w:r w:rsidRPr="00C4214C">
      <w:rPr>
        <w:rFonts w:ascii="Times New Roman" w:hAnsi="Times New Roman" w:cs="Times New Roman"/>
        <w:sz w:val="18"/>
        <w:szCs w:val="18"/>
        <w:lang w:val="en-GB"/>
      </w:rPr>
      <w:fldChar w:fldCharType="end"/>
    </w:r>
    <w:r w:rsidRPr="00C4214C">
      <w:rPr>
        <w:rFonts w:ascii="Times New Roman" w:hAnsi="Times New Roman" w:cs="Times New Roman"/>
        <w:sz w:val="18"/>
        <w:szCs w:val="18"/>
        <w:lang w:val="en-GB"/>
      </w:rPr>
      <w:t xml:space="preserve"> of </w:t>
    </w:r>
    <w:r w:rsidRPr="00C4214C">
      <w:rPr>
        <w:rFonts w:ascii="Times New Roman" w:hAnsi="Times New Roman" w:cs="Times New Roman"/>
        <w:sz w:val="18"/>
        <w:szCs w:val="18"/>
        <w:lang w:val="en-GB"/>
      </w:rPr>
      <w:fldChar w:fldCharType="begin"/>
    </w:r>
    <w:r w:rsidRPr="00C4214C">
      <w:rPr>
        <w:rFonts w:ascii="Times New Roman" w:hAnsi="Times New Roman" w:cs="Times New Roman"/>
        <w:sz w:val="18"/>
        <w:szCs w:val="18"/>
        <w:lang w:val="en-GB"/>
      </w:rPr>
      <w:instrText xml:space="preserve"> NUMPAGES </w:instrText>
    </w:r>
    <w:r w:rsidRPr="00C4214C">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11</w:t>
    </w:r>
    <w:r w:rsidRPr="00C4214C">
      <w:rPr>
        <w:rFonts w:ascii="Times New Roman" w:hAnsi="Times New Roman" w:cs="Times New Roman"/>
        <w:sz w:val="18"/>
        <w:szCs w:val="18"/>
        <w:lang w:val="en-GB"/>
      </w:rPr>
      <w:fldChar w:fldCharType="end"/>
    </w:r>
  </w:p>
  <w:p w:rsidR="002F755D" w:rsidRPr="00C4214C" w:rsidRDefault="002F755D" w:rsidP="00B25580">
    <w:pPr>
      <w:pStyle w:val="Footer"/>
      <w:tabs>
        <w:tab w:val="clear" w:pos="4320"/>
        <w:tab w:val="clear" w:pos="8640"/>
        <w:tab w:val="right" w:pos="14317"/>
      </w:tabs>
      <w:spacing w:before="0" w:after="0"/>
      <w:rPr>
        <w:rFonts w:ascii="Times New Roman" w:hAnsi="Times New Roman" w:cs="Times New Roman"/>
        <w:sz w:val="18"/>
        <w:szCs w:val="18"/>
        <w:lang w:val="en-GB"/>
      </w:rPr>
    </w:pPr>
    <w:r w:rsidRPr="00C4214C">
      <w:rPr>
        <w:rFonts w:ascii="Times New Roman" w:hAnsi="Times New Roman" w:cs="Times New Roman"/>
        <w:sz w:val="18"/>
        <w:szCs w:val="18"/>
        <w:lang w:val="en-GB"/>
      </w:rPr>
      <w:fldChar w:fldCharType="begin"/>
    </w:r>
    <w:r w:rsidRPr="00C4214C">
      <w:rPr>
        <w:rFonts w:ascii="Times New Roman" w:hAnsi="Times New Roman" w:cs="Times New Roman"/>
        <w:sz w:val="18"/>
        <w:szCs w:val="18"/>
        <w:lang w:val="en-GB"/>
      </w:rPr>
      <w:instrText xml:space="preserve"> FILENAME </w:instrText>
    </w:r>
    <w:r w:rsidRPr="00C4214C">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c4f_annexiitechspeciiitechoffer_en.doc</w:t>
    </w:r>
    <w:r w:rsidRPr="00C4214C">
      <w:rPr>
        <w:rFonts w:ascii="Times New Roman" w:hAnsi="Times New Roman" w:cs="Times New Roman"/>
        <w:sz w:val="18"/>
        <w:szCs w:val="18"/>
        <w:lang w:val="en-G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5D" w:rsidRPr="00C4214C" w:rsidRDefault="002F755D" w:rsidP="00684176">
    <w:pPr>
      <w:pStyle w:val="Footer"/>
      <w:tabs>
        <w:tab w:val="clear" w:pos="4320"/>
        <w:tab w:val="clear" w:pos="8640"/>
        <w:tab w:val="right" w:pos="14317"/>
      </w:tabs>
      <w:spacing w:before="0" w:after="0"/>
      <w:jc w:val="both"/>
      <w:rPr>
        <w:rFonts w:ascii="Times New Roman" w:hAnsi="Times New Roman" w:cs="Times New Roman"/>
        <w:sz w:val="18"/>
        <w:szCs w:val="18"/>
        <w:lang w:val="en-GB"/>
      </w:rPr>
    </w:pPr>
    <w:r w:rsidRPr="00622D13">
      <w:rPr>
        <w:rFonts w:ascii="Times New Roman" w:hAnsi="Times New Roman" w:cs="Times New Roman"/>
        <w:b/>
        <w:bCs/>
        <w:sz w:val="18"/>
        <w:szCs w:val="18"/>
        <w:lang w:val="en-GB"/>
      </w:rPr>
      <w:t>July 2019</w:t>
    </w:r>
    <w:r w:rsidRPr="009F1BCE">
      <w:rPr>
        <w:rFonts w:ascii="Times New Roman" w:hAnsi="Times New Roman" w:cs="Times New Roman"/>
        <w:sz w:val="18"/>
        <w:szCs w:val="18"/>
        <w:lang w:val="en-GB"/>
      </w:rPr>
      <w:tab/>
      <w:t xml:space="preserve">Page </w:t>
    </w:r>
    <w:r w:rsidRPr="00C4214C">
      <w:rPr>
        <w:rFonts w:ascii="Times New Roman" w:hAnsi="Times New Roman" w:cs="Times New Roman"/>
        <w:sz w:val="18"/>
        <w:szCs w:val="18"/>
        <w:lang w:val="en-GB"/>
      </w:rPr>
      <w:fldChar w:fldCharType="begin"/>
    </w:r>
    <w:r w:rsidRPr="00C4214C">
      <w:rPr>
        <w:rFonts w:ascii="Times New Roman" w:hAnsi="Times New Roman" w:cs="Times New Roman"/>
        <w:sz w:val="18"/>
        <w:szCs w:val="18"/>
        <w:lang w:val="en-GB"/>
      </w:rPr>
      <w:instrText xml:space="preserve"> PAGE </w:instrText>
    </w:r>
    <w:r w:rsidRPr="00C4214C">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1</w:t>
    </w:r>
    <w:r w:rsidRPr="00C4214C">
      <w:rPr>
        <w:rFonts w:ascii="Times New Roman" w:hAnsi="Times New Roman" w:cs="Times New Roman"/>
        <w:sz w:val="18"/>
        <w:szCs w:val="18"/>
        <w:lang w:val="en-GB"/>
      </w:rPr>
      <w:fldChar w:fldCharType="end"/>
    </w:r>
    <w:r w:rsidRPr="00C4214C">
      <w:rPr>
        <w:rFonts w:ascii="Times New Roman" w:hAnsi="Times New Roman" w:cs="Times New Roman"/>
        <w:sz w:val="18"/>
        <w:szCs w:val="18"/>
        <w:lang w:val="en-GB"/>
      </w:rPr>
      <w:t xml:space="preserve"> of </w:t>
    </w:r>
    <w:r w:rsidRPr="00C4214C">
      <w:rPr>
        <w:rFonts w:ascii="Times New Roman" w:hAnsi="Times New Roman" w:cs="Times New Roman"/>
        <w:sz w:val="18"/>
        <w:szCs w:val="18"/>
        <w:lang w:val="en-GB"/>
      </w:rPr>
      <w:fldChar w:fldCharType="begin"/>
    </w:r>
    <w:r w:rsidRPr="00C4214C">
      <w:rPr>
        <w:rFonts w:ascii="Times New Roman" w:hAnsi="Times New Roman" w:cs="Times New Roman"/>
        <w:sz w:val="18"/>
        <w:szCs w:val="18"/>
        <w:lang w:val="en-GB"/>
      </w:rPr>
      <w:instrText xml:space="preserve"> NUMPAGES </w:instrText>
    </w:r>
    <w:r w:rsidRPr="00C4214C">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11</w:t>
    </w:r>
    <w:r w:rsidRPr="00C4214C">
      <w:rPr>
        <w:rFonts w:ascii="Times New Roman" w:hAnsi="Times New Roman" w:cs="Times New Roman"/>
        <w:sz w:val="18"/>
        <w:szCs w:val="18"/>
        <w:lang w:val="en-GB"/>
      </w:rPr>
      <w:fldChar w:fldCharType="end"/>
    </w:r>
  </w:p>
  <w:p w:rsidR="002F755D" w:rsidRPr="009F1BCE" w:rsidRDefault="002F755D" w:rsidP="00B25580">
    <w:pPr>
      <w:pStyle w:val="Footer"/>
      <w:tabs>
        <w:tab w:val="clear" w:pos="4320"/>
        <w:tab w:val="clear" w:pos="8640"/>
        <w:tab w:val="right" w:pos="14317"/>
      </w:tabs>
      <w:spacing w:before="0" w:after="0"/>
      <w:rPr>
        <w:rFonts w:ascii="Times New Roman" w:hAnsi="Times New Roman" w:cs="Times New Roman"/>
        <w:sz w:val="18"/>
        <w:szCs w:val="18"/>
        <w:lang w:val="en-GB"/>
      </w:rPr>
    </w:pPr>
    <w:r w:rsidRPr="009F1BCE">
      <w:rPr>
        <w:rFonts w:ascii="Times New Roman" w:hAnsi="Times New Roman" w:cs="Times New Roman"/>
        <w:sz w:val="18"/>
        <w:szCs w:val="18"/>
        <w:lang w:val="en-GB"/>
      </w:rPr>
      <w:fldChar w:fldCharType="begin"/>
    </w:r>
    <w:r w:rsidRPr="009F1BCE">
      <w:rPr>
        <w:rFonts w:ascii="Times New Roman" w:hAnsi="Times New Roman" w:cs="Times New Roman"/>
        <w:sz w:val="18"/>
        <w:szCs w:val="18"/>
        <w:lang w:val="en-GB"/>
      </w:rPr>
      <w:instrText xml:space="preserve"> FILENAME </w:instrText>
    </w:r>
    <w:r w:rsidRPr="009F1BCE">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c4f_annexiitechspeciiitechoffer_en.doc</w:t>
    </w:r>
    <w:r w:rsidRPr="009F1BCE">
      <w:rPr>
        <w:rFonts w:ascii="Times New Roman" w:hAnsi="Times New Roman" w:cs="Times New Roman"/>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55D" w:rsidRDefault="002F755D">
      <w:r>
        <w:separator/>
      </w:r>
    </w:p>
  </w:footnote>
  <w:footnote w:type="continuationSeparator" w:id="1">
    <w:p w:rsidR="002F755D" w:rsidRDefault="002F7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5D" w:rsidRDefault="002F75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5D" w:rsidRDefault="002F75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CFD1D5A"/>
    <w:multiLevelType w:val="hybridMultilevel"/>
    <w:tmpl w:val="58041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7B42C33"/>
    <w:multiLevelType w:val="hybridMultilevel"/>
    <w:tmpl w:val="1804D0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7652B99"/>
    <w:multiLevelType w:val="multilevel"/>
    <w:tmpl w:val="57E8C456"/>
    <w:lvl w:ilvl="0">
      <w:start w:val="2"/>
      <w:numFmt w:val="decimal"/>
      <w:lvlText w:val="11.%1"/>
      <w:lvlJc w:val="left"/>
      <w:pPr>
        <w:tabs>
          <w:tab w:val="num" w:pos="720"/>
        </w:tabs>
        <w:ind w:left="397" w:hanging="397"/>
      </w:pPr>
      <w:rPr>
        <w:rFonts w:ascii="Arial" w:hAnsi="Arial" w:cs="Arial" w:hint="default"/>
        <w:b w:val="0"/>
        <w:bCs w:val="0"/>
        <w:i w:val="0"/>
        <w:iCs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4D25518"/>
    <w:multiLevelType w:val="multilevel"/>
    <w:tmpl w:val="05CE00B0"/>
    <w:lvl w:ilvl="0">
      <w:start w:val="1"/>
      <w:numFmt w:val="decimal"/>
      <w:lvlText w:val="%1"/>
      <w:lvlJc w:val="left"/>
      <w:pPr>
        <w:tabs>
          <w:tab w:val="num" w:pos="397"/>
        </w:tabs>
        <w:ind w:left="397" w:hanging="397"/>
      </w:pPr>
      <w:rPr>
        <w:rFonts w:ascii="Arial" w:hAnsi="Arial" w:cs="Arial" w:hint="default"/>
        <w:b/>
        <w:bCs/>
        <w:i/>
        <w:iCs/>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9A24AA"/>
    <w:multiLevelType w:val="singleLevel"/>
    <w:tmpl w:val="9EC0DA56"/>
    <w:lvl w:ilvl="0">
      <w:start w:val="1"/>
      <w:numFmt w:val="decimal"/>
      <w:lvlText w:val="21.%1"/>
      <w:lvlJc w:val="left"/>
      <w:pPr>
        <w:tabs>
          <w:tab w:val="num" w:pos="720"/>
        </w:tabs>
        <w:ind w:left="397" w:hanging="397"/>
      </w:pPr>
      <w:rPr>
        <w:rFonts w:ascii="Arial" w:hAnsi="Arial" w:cs="Arial" w:hint="default"/>
        <w:b w:val="0"/>
        <w:bCs w:val="0"/>
        <w:i w:val="0"/>
        <w:iCs w:val="0"/>
        <w:sz w:val="22"/>
        <w:szCs w:val="22"/>
      </w:rPr>
    </w:lvl>
  </w:abstractNum>
  <w:abstractNum w:abstractNumId="29">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cs="Arial" w:hint="default"/>
        <w:b w:val="0"/>
        <w:bCs w:val="0"/>
        <w:i w:val="0"/>
        <w:iCs w:val="0"/>
        <w:sz w:val="22"/>
        <w:szCs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nsid w:val="6899729A"/>
    <w:multiLevelType w:val="singleLevel"/>
    <w:tmpl w:val="655ACA48"/>
    <w:lvl w:ilvl="0">
      <w:start w:val="17"/>
      <w:numFmt w:val="decimal"/>
      <w:lvlText w:val="%1."/>
      <w:lvlJc w:val="left"/>
      <w:pPr>
        <w:tabs>
          <w:tab w:val="num" w:pos="397"/>
        </w:tabs>
        <w:ind w:left="397" w:hanging="397"/>
      </w:pPr>
      <w:rPr>
        <w:rFonts w:ascii="Arial" w:hAnsi="Arial" w:cs="Arial" w:hint="default"/>
        <w:b/>
        <w:bCs/>
        <w:i/>
        <w:iCs/>
        <w:sz w:val="28"/>
        <w:szCs w:val="28"/>
      </w:rPr>
    </w:lvl>
  </w:abstractNum>
  <w:abstractNum w:abstractNumId="33">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9216D6C"/>
    <w:multiLevelType w:val="multilevel"/>
    <w:tmpl w:val="F4D41070"/>
    <w:lvl w:ilvl="0">
      <w:start w:val="1"/>
      <w:numFmt w:val="decimal"/>
      <w:pStyle w:val="Heading1"/>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347C68"/>
    <w:multiLevelType w:val="hybridMultilevel"/>
    <w:tmpl w:val="D3B0AE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714BB"/>
    <w:rsid w:val="000726B9"/>
    <w:rsid w:val="00085CA1"/>
    <w:rsid w:val="00087F35"/>
    <w:rsid w:val="0009286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60227"/>
    <w:rsid w:val="001766D9"/>
    <w:rsid w:val="00181980"/>
    <w:rsid w:val="00187253"/>
    <w:rsid w:val="001905EC"/>
    <w:rsid w:val="001932AF"/>
    <w:rsid w:val="001937B4"/>
    <w:rsid w:val="001A3CB9"/>
    <w:rsid w:val="001B5454"/>
    <w:rsid w:val="001D0532"/>
    <w:rsid w:val="001E4648"/>
    <w:rsid w:val="001F5421"/>
    <w:rsid w:val="00207A66"/>
    <w:rsid w:val="00211E0F"/>
    <w:rsid w:val="00216F0D"/>
    <w:rsid w:val="002209F1"/>
    <w:rsid w:val="00220BF7"/>
    <w:rsid w:val="00224C44"/>
    <w:rsid w:val="002355A0"/>
    <w:rsid w:val="00235883"/>
    <w:rsid w:val="002426D3"/>
    <w:rsid w:val="002442B7"/>
    <w:rsid w:val="002560BB"/>
    <w:rsid w:val="002561C8"/>
    <w:rsid w:val="0026512B"/>
    <w:rsid w:val="0026542C"/>
    <w:rsid w:val="00271700"/>
    <w:rsid w:val="0028364A"/>
    <w:rsid w:val="00294190"/>
    <w:rsid w:val="002A0041"/>
    <w:rsid w:val="002B0798"/>
    <w:rsid w:val="002B6401"/>
    <w:rsid w:val="002C649A"/>
    <w:rsid w:val="002D1E09"/>
    <w:rsid w:val="002D2FC0"/>
    <w:rsid w:val="002F1222"/>
    <w:rsid w:val="002F755D"/>
    <w:rsid w:val="00301346"/>
    <w:rsid w:val="0030264D"/>
    <w:rsid w:val="0030325F"/>
    <w:rsid w:val="0030381F"/>
    <w:rsid w:val="00322263"/>
    <w:rsid w:val="003308C6"/>
    <w:rsid w:val="003409B8"/>
    <w:rsid w:val="00347B7E"/>
    <w:rsid w:val="003502E9"/>
    <w:rsid w:val="00350FFE"/>
    <w:rsid w:val="00351351"/>
    <w:rsid w:val="0035202F"/>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05366"/>
    <w:rsid w:val="00420666"/>
    <w:rsid w:val="00426276"/>
    <w:rsid w:val="004300D4"/>
    <w:rsid w:val="004316F0"/>
    <w:rsid w:val="004411BC"/>
    <w:rsid w:val="004554CB"/>
    <w:rsid w:val="004775D2"/>
    <w:rsid w:val="00483E26"/>
    <w:rsid w:val="00496BB4"/>
    <w:rsid w:val="004A7ED9"/>
    <w:rsid w:val="004C35B5"/>
    <w:rsid w:val="004C73B6"/>
    <w:rsid w:val="004D2FD8"/>
    <w:rsid w:val="004F13A1"/>
    <w:rsid w:val="004F5C57"/>
    <w:rsid w:val="00501FF0"/>
    <w:rsid w:val="005108FD"/>
    <w:rsid w:val="00525E85"/>
    <w:rsid w:val="00535826"/>
    <w:rsid w:val="00536B4A"/>
    <w:rsid w:val="00540384"/>
    <w:rsid w:val="00543F1F"/>
    <w:rsid w:val="00575CB0"/>
    <w:rsid w:val="00591F23"/>
    <w:rsid w:val="00593550"/>
    <w:rsid w:val="005B2018"/>
    <w:rsid w:val="005C0EA1"/>
    <w:rsid w:val="005C4176"/>
    <w:rsid w:val="005D2116"/>
    <w:rsid w:val="005D2717"/>
    <w:rsid w:val="005D3833"/>
    <w:rsid w:val="005D571C"/>
    <w:rsid w:val="005F3C51"/>
    <w:rsid w:val="005F62D0"/>
    <w:rsid w:val="0061283F"/>
    <w:rsid w:val="00622D13"/>
    <w:rsid w:val="006311FE"/>
    <w:rsid w:val="00633829"/>
    <w:rsid w:val="006408AC"/>
    <w:rsid w:val="0066519D"/>
    <w:rsid w:val="00667CE7"/>
    <w:rsid w:val="00670C3D"/>
    <w:rsid w:val="00677500"/>
    <w:rsid w:val="0068247E"/>
    <w:rsid w:val="00684176"/>
    <w:rsid w:val="006917B2"/>
    <w:rsid w:val="00694D46"/>
    <w:rsid w:val="006B0AB1"/>
    <w:rsid w:val="006B5A0E"/>
    <w:rsid w:val="006C2F05"/>
    <w:rsid w:val="006E56FD"/>
    <w:rsid w:val="006E6880"/>
    <w:rsid w:val="00701A49"/>
    <w:rsid w:val="00702D85"/>
    <w:rsid w:val="00711C72"/>
    <w:rsid w:val="0073450F"/>
    <w:rsid w:val="0075384B"/>
    <w:rsid w:val="00777E99"/>
    <w:rsid w:val="0078178B"/>
    <w:rsid w:val="00792A1B"/>
    <w:rsid w:val="007B65DB"/>
    <w:rsid w:val="007C0BDD"/>
    <w:rsid w:val="007C1656"/>
    <w:rsid w:val="007C75E0"/>
    <w:rsid w:val="007D228F"/>
    <w:rsid w:val="007D5FA2"/>
    <w:rsid w:val="007E3D5F"/>
    <w:rsid w:val="007E53F9"/>
    <w:rsid w:val="00805EFD"/>
    <w:rsid w:val="00806CE0"/>
    <w:rsid w:val="00811F58"/>
    <w:rsid w:val="00822CBC"/>
    <w:rsid w:val="00853F9D"/>
    <w:rsid w:val="008552E8"/>
    <w:rsid w:val="0085667F"/>
    <w:rsid w:val="008617F3"/>
    <w:rsid w:val="008766DD"/>
    <w:rsid w:val="008808CB"/>
    <w:rsid w:val="00882B76"/>
    <w:rsid w:val="008859E6"/>
    <w:rsid w:val="008A39B7"/>
    <w:rsid w:val="008B5A9D"/>
    <w:rsid w:val="008C7408"/>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A24A4"/>
    <w:rsid w:val="00AA4CDD"/>
    <w:rsid w:val="00AA4E3B"/>
    <w:rsid w:val="00AB29A9"/>
    <w:rsid w:val="00AB66A5"/>
    <w:rsid w:val="00AC7636"/>
    <w:rsid w:val="00AD1B8E"/>
    <w:rsid w:val="00AD3FB8"/>
    <w:rsid w:val="00AE6600"/>
    <w:rsid w:val="00AE7D13"/>
    <w:rsid w:val="00AF4052"/>
    <w:rsid w:val="00AF4E19"/>
    <w:rsid w:val="00B07102"/>
    <w:rsid w:val="00B1165D"/>
    <w:rsid w:val="00B148C1"/>
    <w:rsid w:val="00B25580"/>
    <w:rsid w:val="00B277E4"/>
    <w:rsid w:val="00B3168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55B44"/>
    <w:rsid w:val="00C61312"/>
    <w:rsid w:val="00C720C8"/>
    <w:rsid w:val="00C75CCE"/>
    <w:rsid w:val="00C86352"/>
    <w:rsid w:val="00C92434"/>
    <w:rsid w:val="00CA1354"/>
    <w:rsid w:val="00CA6C68"/>
    <w:rsid w:val="00CC7DE2"/>
    <w:rsid w:val="00CD7F25"/>
    <w:rsid w:val="00CF6CFA"/>
    <w:rsid w:val="00CF7AAC"/>
    <w:rsid w:val="00D10EF9"/>
    <w:rsid w:val="00D24893"/>
    <w:rsid w:val="00D43612"/>
    <w:rsid w:val="00D43C88"/>
    <w:rsid w:val="00D52CBF"/>
    <w:rsid w:val="00D576CA"/>
    <w:rsid w:val="00D66F04"/>
    <w:rsid w:val="00D75213"/>
    <w:rsid w:val="00D83D1B"/>
    <w:rsid w:val="00D979C6"/>
    <w:rsid w:val="00DA4AB8"/>
    <w:rsid w:val="00DB3C0F"/>
    <w:rsid w:val="00DC0120"/>
    <w:rsid w:val="00DC50E2"/>
    <w:rsid w:val="00DC54A0"/>
    <w:rsid w:val="00DC6C9C"/>
    <w:rsid w:val="00DD0624"/>
    <w:rsid w:val="00DD1BEE"/>
    <w:rsid w:val="00DF7327"/>
    <w:rsid w:val="00E076A3"/>
    <w:rsid w:val="00E11385"/>
    <w:rsid w:val="00E13CDE"/>
    <w:rsid w:val="00E1669C"/>
    <w:rsid w:val="00E2190B"/>
    <w:rsid w:val="00E2682A"/>
    <w:rsid w:val="00E27678"/>
    <w:rsid w:val="00E340A7"/>
    <w:rsid w:val="00E34208"/>
    <w:rsid w:val="00E37290"/>
    <w:rsid w:val="00E37C41"/>
    <w:rsid w:val="00E41C6F"/>
    <w:rsid w:val="00E52467"/>
    <w:rsid w:val="00E52D98"/>
    <w:rsid w:val="00E54B1B"/>
    <w:rsid w:val="00E571E1"/>
    <w:rsid w:val="00E61935"/>
    <w:rsid w:val="00E62221"/>
    <w:rsid w:val="00E62923"/>
    <w:rsid w:val="00E64C97"/>
    <w:rsid w:val="00E656F6"/>
    <w:rsid w:val="00E730A5"/>
    <w:rsid w:val="00E811F3"/>
    <w:rsid w:val="00E85F91"/>
    <w:rsid w:val="00E92A2A"/>
    <w:rsid w:val="00EB2381"/>
    <w:rsid w:val="00EB4039"/>
    <w:rsid w:val="00EC33E4"/>
    <w:rsid w:val="00ED531E"/>
    <w:rsid w:val="00EE0ED9"/>
    <w:rsid w:val="00EE2E55"/>
    <w:rsid w:val="00F02006"/>
    <w:rsid w:val="00F0574A"/>
    <w:rsid w:val="00F12A62"/>
    <w:rsid w:val="00F15393"/>
    <w:rsid w:val="00F2256F"/>
    <w:rsid w:val="00F228B1"/>
    <w:rsid w:val="00F25BC8"/>
    <w:rsid w:val="00F30B06"/>
    <w:rsid w:val="00F33A99"/>
    <w:rsid w:val="00F35836"/>
    <w:rsid w:val="00F53DB6"/>
    <w:rsid w:val="00F56D4C"/>
    <w:rsid w:val="00F658F3"/>
    <w:rsid w:val="00F8016B"/>
    <w:rsid w:val="00F804E1"/>
    <w:rsid w:val="00F87F88"/>
    <w:rsid w:val="00F90A9F"/>
    <w:rsid w:val="00F91DF6"/>
    <w:rsid w:val="00F962E3"/>
    <w:rsid w:val="00FA3F66"/>
    <w:rsid w:val="00FB3374"/>
    <w:rsid w:val="00FB67DE"/>
    <w:rsid w:val="00FD6CB9"/>
    <w:rsid w:val="00FE3081"/>
    <w:rsid w:val="00FE3E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1346"/>
    <w:pPr>
      <w:spacing w:before="120" w:after="120"/>
    </w:pPr>
    <w:rPr>
      <w:rFonts w:ascii="Arial" w:hAnsi="Arial" w:cs="Arial"/>
      <w:sz w:val="20"/>
      <w:szCs w:val="20"/>
      <w:lang w:val="sv-SE"/>
    </w:rPr>
  </w:style>
  <w:style w:type="paragraph" w:styleId="Heading1">
    <w:name w:val="heading 1"/>
    <w:basedOn w:val="Normal"/>
    <w:next w:val="Normal"/>
    <w:link w:val="Heading1Char"/>
    <w:uiPriority w:val="99"/>
    <w:qFormat/>
    <w:rsid w:val="00EB2381"/>
    <w:pPr>
      <w:keepNext/>
      <w:numPr>
        <w:numId w:val="2"/>
      </w:numPr>
      <w:tabs>
        <w:tab w:val="right" w:pos="567"/>
      </w:tabs>
      <w:spacing w:before="240" w:after="240"/>
      <w:jc w:val="both"/>
      <w:outlineLvl w:val="0"/>
    </w:pPr>
    <w:rPr>
      <w:b/>
      <w:bCs/>
      <w:lang w:val="fr-BE"/>
    </w:rPr>
  </w:style>
  <w:style w:type="paragraph" w:styleId="Heading2">
    <w:name w:val="heading 2"/>
    <w:basedOn w:val="Normal"/>
    <w:next w:val="Normal"/>
    <w:link w:val="Heading2Char"/>
    <w:uiPriority w:val="99"/>
    <w:qFormat/>
    <w:rsid w:val="00EB2381"/>
    <w:pPr>
      <w:keepNext/>
      <w:outlineLvl w:val="1"/>
    </w:pPr>
    <w:rPr>
      <w:lang w:val="fr-BE"/>
    </w:rPr>
  </w:style>
  <w:style w:type="paragraph" w:styleId="Heading3">
    <w:name w:val="heading 3"/>
    <w:basedOn w:val="Normal"/>
    <w:next w:val="Normal"/>
    <w:link w:val="Heading3Char"/>
    <w:uiPriority w:val="99"/>
    <w:qFormat/>
    <w:rsid w:val="00EB2381"/>
    <w:pPr>
      <w:keepNext/>
      <w:framePr w:hSpace="181" w:vSpace="181" w:wrap="auto" w:vAnchor="text" w:hAnchor="text" w:y="1"/>
      <w:outlineLvl w:val="2"/>
    </w:pPr>
    <w:rPr>
      <w:lang w:val="en-GB"/>
    </w:rPr>
  </w:style>
  <w:style w:type="paragraph" w:styleId="Heading4">
    <w:name w:val="heading 4"/>
    <w:basedOn w:val="Normal"/>
    <w:next w:val="Normal"/>
    <w:link w:val="Heading4Char"/>
    <w:uiPriority w:val="99"/>
    <w:qFormat/>
    <w:rsid w:val="00EB2381"/>
    <w:pPr>
      <w:keepNext/>
      <w:numPr>
        <w:ilvl w:val="3"/>
        <w:numId w:val="2"/>
      </w:numPr>
      <w:spacing w:before="240" w:after="60"/>
      <w:outlineLvl w:val="3"/>
    </w:pPr>
    <w:rPr>
      <w:b/>
      <w:bCs/>
      <w:sz w:val="24"/>
      <w:szCs w:val="24"/>
    </w:rPr>
  </w:style>
  <w:style w:type="paragraph" w:styleId="Heading5">
    <w:name w:val="heading 5"/>
    <w:basedOn w:val="Normal"/>
    <w:next w:val="Normal"/>
    <w:link w:val="Heading5Char"/>
    <w:uiPriority w:val="99"/>
    <w:qFormat/>
    <w:rsid w:val="00EB2381"/>
    <w:pPr>
      <w:numPr>
        <w:ilvl w:val="4"/>
        <w:numId w:val="2"/>
      </w:numPr>
      <w:spacing w:before="240" w:after="60"/>
      <w:outlineLvl w:val="4"/>
    </w:pPr>
    <w:rPr>
      <w:sz w:val="22"/>
      <w:szCs w:val="22"/>
    </w:rPr>
  </w:style>
  <w:style w:type="paragraph" w:styleId="Heading6">
    <w:name w:val="heading 6"/>
    <w:basedOn w:val="Normal"/>
    <w:next w:val="Normal"/>
    <w:link w:val="Heading6Char"/>
    <w:uiPriority w:val="99"/>
    <w:qFormat/>
    <w:rsid w:val="00EB2381"/>
    <w:pPr>
      <w:numPr>
        <w:ilvl w:val="5"/>
        <w:numId w:val="2"/>
      </w:numPr>
      <w:tabs>
        <w:tab w:val="clear" w:pos="360"/>
        <w:tab w:val="num" w:pos="1152"/>
      </w:tabs>
      <w:spacing w:before="240" w:after="60"/>
      <w:ind w:left="1152" w:hanging="1152"/>
      <w:outlineLvl w:val="5"/>
    </w:pPr>
    <w:rPr>
      <w:i/>
      <w:iCs/>
      <w:sz w:val="22"/>
      <w:szCs w:val="22"/>
    </w:rPr>
  </w:style>
  <w:style w:type="paragraph" w:styleId="Heading7">
    <w:name w:val="heading 7"/>
    <w:basedOn w:val="Normal"/>
    <w:next w:val="Normal"/>
    <w:link w:val="Heading7Char"/>
    <w:uiPriority w:val="99"/>
    <w:qFormat/>
    <w:rsid w:val="00EB2381"/>
    <w:pPr>
      <w:numPr>
        <w:ilvl w:val="6"/>
        <w:numId w:val="2"/>
      </w:numPr>
      <w:spacing w:before="240" w:after="60"/>
      <w:outlineLvl w:val="6"/>
    </w:pPr>
  </w:style>
  <w:style w:type="paragraph" w:styleId="Heading8">
    <w:name w:val="heading 8"/>
    <w:basedOn w:val="Normal"/>
    <w:next w:val="Normal"/>
    <w:link w:val="Heading8Char"/>
    <w:uiPriority w:val="99"/>
    <w:qFormat/>
    <w:rsid w:val="00EB2381"/>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EB2381"/>
    <w:pPr>
      <w:numPr>
        <w:ilvl w:val="8"/>
        <w:numId w:val="2"/>
      </w:numPr>
      <w:spacing w:before="240" w:after="6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sv-SE"/>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sv-SE"/>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sv-SE"/>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sv-SE"/>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sv-SE"/>
    </w:rPr>
  </w:style>
  <w:style w:type="character" w:customStyle="1" w:styleId="Heading6Char">
    <w:name w:val="Heading 6 Char"/>
    <w:basedOn w:val="DefaultParagraphFont"/>
    <w:link w:val="Heading6"/>
    <w:uiPriority w:val="99"/>
    <w:semiHidden/>
    <w:locked/>
    <w:rPr>
      <w:rFonts w:ascii="Calibri" w:hAnsi="Calibri" w:cs="Calibri"/>
      <w:b/>
      <w:bCs/>
      <w:lang w:val="sv-SE"/>
    </w:rPr>
  </w:style>
  <w:style w:type="character" w:customStyle="1" w:styleId="Heading7Char">
    <w:name w:val="Heading 7 Char"/>
    <w:basedOn w:val="DefaultParagraphFont"/>
    <w:link w:val="Heading7"/>
    <w:uiPriority w:val="99"/>
    <w:semiHidden/>
    <w:locked/>
    <w:rPr>
      <w:rFonts w:ascii="Calibri" w:hAnsi="Calibri" w:cs="Calibri"/>
      <w:sz w:val="24"/>
      <w:szCs w:val="24"/>
      <w:lang w:val="sv-SE"/>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sv-SE"/>
    </w:rPr>
  </w:style>
  <w:style w:type="character" w:customStyle="1" w:styleId="Heading9Char">
    <w:name w:val="Heading 9 Char"/>
    <w:basedOn w:val="DefaultParagraphFont"/>
    <w:link w:val="Heading9"/>
    <w:uiPriority w:val="99"/>
    <w:semiHidden/>
    <w:locked/>
    <w:rPr>
      <w:rFonts w:ascii="Cambria" w:hAnsi="Cambria" w:cs="Cambria"/>
      <w:lang w:val="sv-SE"/>
    </w:rPr>
  </w:style>
  <w:style w:type="paragraph" w:styleId="Title">
    <w:name w:val="Title"/>
    <w:basedOn w:val="Normal"/>
    <w:link w:val="TitleChar"/>
    <w:uiPriority w:val="99"/>
    <w:qFormat/>
    <w:rsid w:val="00EB2381"/>
    <w:pPr>
      <w:jc w:val="center"/>
    </w:pPr>
    <w:rPr>
      <w:b/>
      <w:bCs/>
      <w:sz w:val="28"/>
      <w:szCs w:val="28"/>
      <w:lang w:val="fr-BE"/>
    </w:rPr>
  </w:style>
  <w:style w:type="character" w:customStyle="1" w:styleId="TitleChar">
    <w:name w:val="Title Char"/>
    <w:basedOn w:val="DefaultParagraphFont"/>
    <w:link w:val="Title"/>
    <w:uiPriority w:val="99"/>
    <w:locked/>
    <w:rPr>
      <w:rFonts w:ascii="Cambria" w:hAnsi="Cambria" w:cs="Cambria"/>
      <w:b/>
      <w:bCs/>
      <w:kern w:val="28"/>
      <w:sz w:val="32"/>
      <w:szCs w:val="32"/>
      <w:lang w:val="sv-SE"/>
    </w:rPr>
  </w:style>
  <w:style w:type="paragraph" w:styleId="Subtitle">
    <w:name w:val="Subtitle"/>
    <w:basedOn w:val="Normal"/>
    <w:link w:val="SubtitleChar"/>
    <w:uiPriority w:val="99"/>
    <w:qFormat/>
    <w:rsid w:val="00EB2381"/>
    <w:pPr>
      <w:jc w:val="center"/>
    </w:pPr>
    <w:rPr>
      <w:b/>
      <w:bCs/>
      <w:sz w:val="28"/>
      <w:szCs w:val="28"/>
      <w:lang w:val="fr-BE"/>
    </w:rPr>
  </w:style>
  <w:style w:type="character" w:customStyle="1" w:styleId="SubtitleChar">
    <w:name w:val="Subtitle Char"/>
    <w:basedOn w:val="DefaultParagraphFont"/>
    <w:link w:val="Subtitle"/>
    <w:uiPriority w:val="99"/>
    <w:locked/>
    <w:rPr>
      <w:rFonts w:ascii="Cambria" w:hAnsi="Cambria" w:cs="Cambria"/>
      <w:sz w:val="24"/>
      <w:szCs w:val="24"/>
      <w:lang w:val="sv-SE"/>
    </w:rPr>
  </w:style>
  <w:style w:type="paragraph" w:styleId="BodyTextIndent">
    <w:name w:val="Body Text Indent"/>
    <w:basedOn w:val="Normal"/>
    <w:link w:val="BodyTextIndentChar"/>
    <w:uiPriority w:val="99"/>
    <w:rsid w:val="00EB2381"/>
    <w:pPr>
      <w:tabs>
        <w:tab w:val="num" w:pos="567"/>
      </w:tabs>
      <w:spacing w:before="0" w:after="0"/>
      <w:jc w:val="both"/>
    </w:pPr>
    <w:rPr>
      <w:sz w:val="24"/>
      <w:szCs w:val="24"/>
    </w:rPr>
  </w:style>
  <w:style w:type="character" w:customStyle="1" w:styleId="BodyTextIndentChar">
    <w:name w:val="Body Text Indent Char"/>
    <w:basedOn w:val="DefaultParagraphFont"/>
    <w:link w:val="BodyTextIndent"/>
    <w:uiPriority w:val="99"/>
    <w:semiHidden/>
    <w:locked/>
    <w:rPr>
      <w:rFonts w:ascii="Arial" w:hAnsi="Arial" w:cs="Arial"/>
      <w:sz w:val="20"/>
      <w:szCs w:val="20"/>
      <w:lang w:val="sv-SE"/>
    </w:rPr>
  </w:style>
  <w:style w:type="paragraph" w:styleId="BodyText">
    <w:name w:val="Body Text"/>
    <w:basedOn w:val="Normal"/>
    <w:link w:val="BodyTextChar"/>
    <w:uiPriority w:val="99"/>
    <w:rsid w:val="00EB2381"/>
  </w:style>
  <w:style w:type="character" w:customStyle="1" w:styleId="BodyTextChar">
    <w:name w:val="Body Text Char"/>
    <w:basedOn w:val="DefaultParagraphFont"/>
    <w:link w:val="BodyText"/>
    <w:uiPriority w:val="99"/>
    <w:semiHidden/>
    <w:locked/>
    <w:rPr>
      <w:rFonts w:ascii="Arial" w:hAnsi="Arial" w:cs="Arial"/>
      <w:sz w:val="20"/>
      <w:szCs w:val="20"/>
      <w:lang w:val="sv-SE"/>
    </w:rPr>
  </w:style>
  <w:style w:type="paragraph" w:styleId="BodyTextIndent2">
    <w:name w:val="Body Text Indent 2"/>
    <w:basedOn w:val="Normal"/>
    <w:link w:val="BodyTextIndent2Char"/>
    <w:uiPriority w:val="99"/>
    <w:rsid w:val="00EB2381"/>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locked/>
    <w:rPr>
      <w:rFonts w:ascii="Arial" w:hAnsi="Arial" w:cs="Arial"/>
      <w:sz w:val="20"/>
      <w:szCs w:val="20"/>
      <w:lang w:val="sv-SE"/>
    </w:rPr>
  </w:style>
  <w:style w:type="paragraph" w:styleId="BodyTextIndent3">
    <w:name w:val="Body Text Indent 3"/>
    <w:basedOn w:val="Normal"/>
    <w:link w:val="BodyTextIndent3Char"/>
    <w:uiPriority w:val="99"/>
    <w:rsid w:val="00EB2381"/>
    <w:pPr>
      <w:tabs>
        <w:tab w:val="left" w:pos="1276"/>
      </w:tabs>
      <w:ind w:left="1276" w:hanging="425"/>
      <w:jc w:val="both"/>
    </w:pPr>
    <w:rPr>
      <w:sz w:val="24"/>
      <w:szCs w:val="24"/>
    </w:rPr>
  </w:style>
  <w:style w:type="character" w:customStyle="1" w:styleId="BodyTextIndent3Char">
    <w:name w:val="Body Text Indent 3 Char"/>
    <w:basedOn w:val="DefaultParagraphFont"/>
    <w:link w:val="BodyTextIndent3"/>
    <w:uiPriority w:val="99"/>
    <w:semiHidden/>
    <w:locked/>
    <w:rPr>
      <w:rFonts w:ascii="Arial" w:hAnsi="Arial" w:cs="Arial"/>
      <w:sz w:val="16"/>
      <w:szCs w:val="16"/>
      <w:lang w:val="sv-SE"/>
    </w:rPr>
  </w:style>
  <w:style w:type="paragraph" w:customStyle="1" w:styleId="Text3">
    <w:name w:val="Text 3"/>
    <w:basedOn w:val="Normal"/>
    <w:uiPriority w:val="99"/>
    <w:rsid w:val="00EB2381"/>
    <w:pPr>
      <w:tabs>
        <w:tab w:val="left" w:pos="2302"/>
      </w:tabs>
      <w:spacing w:after="240"/>
      <w:ind w:left="1202"/>
      <w:jc w:val="both"/>
    </w:pPr>
    <w:rPr>
      <w:sz w:val="24"/>
      <w:szCs w:val="24"/>
      <w:lang w:val="en-GB"/>
    </w:rPr>
  </w:style>
  <w:style w:type="paragraph" w:styleId="Header">
    <w:name w:val="header"/>
    <w:basedOn w:val="Normal"/>
    <w:link w:val="HeaderChar"/>
    <w:uiPriority w:val="99"/>
    <w:rsid w:val="00EB2381"/>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lang w:val="sv-SE"/>
    </w:rPr>
  </w:style>
  <w:style w:type="paragraph" w:styleId="Footer">
    <w:name w:val="footer"/>
    <w:basedOn w:val="Normal"/>
    <w:link w:val="FooterChar"/>
    <w:uiPriority w:val="99"/>
    <w:rsid w:val="00EB2381"/>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lang w:val="sv-SE"/>
    </w:rPr>
  </w:style>
  <w:style w:type="character" w:styleId="PageNumber">
    <w:name w:val="page number"/>
    <w:basedOn w:val="DefaultParagraphFont"/>
    <w:uiPriority w:val="99"/>
    <w:rsid w:val="00EB2381"/>
    <w:rPr>
      <w:rFonts w:cs="Times New Roman"/>
    </w:rPr>
  </w:style>
  <w:style w:type="paragraph" w:styleId="BodyText3">
    <w:name w:val="Body Text 3"/>
    <w:basedOn w:val="Normal"/>
    <w:link w:val="BodyText3Char"/>
    <w:uiPriority w:val="99"/>
    <w:rsid w:val="00EB2381"/>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lang w:val="en-GB"/>
    </w:rPr>
  </w:style>
  <w:style w:type="character" w:customStyle="1" w:styleId="BodyText3Char">
    <w:name w:val="Body Text 3 Char"/>
    <w:basedOn w:val="DefaultParagraphFont"/>
    <w:link w:val="BodyText3"/>
    <w:uiPriority w:val="99"/>
    <w:semiHidden/>
    <w:locked/>
    <w:rPr>
      <w:rFonts w:ascii="Arial" w:hAnsi="Arial" w:cs="Arial"/>
      <w:sz w:val="16"/>
      <w:szCs w:val="16"/>
      <w:lang w:val="sv-SE"/>
    </w:rPr>
  </w:style>
  <w:style w:type="character" w:styleId="Hyperlink">
    <w:name w:val="Hyperlink"/>
    <w:basedOn w:val="DefaultParagraphFont"/>
    <w:uiPriority w:val="99"/>
    <w:rsid w:val="00EB2381"/>
    <w:rPr>
      <w:rFonts w:cs="Times New Roman"/>
      <w:color w:val="0000FF"/>
      <w:u w:val="single"/>
    </w:rPr>
  </w:style>
  <w:style w:type="paragraph" w:styleId="FootnoteText">
    <w:name w:val="footnote text"/>
    <w:basedOn w:val="Normal"/>
    <w:link w:val="FootnoteTextChar"/>
    <w:uiPriority w:val="99"/>
    <w:semiHidden/>
    <w:rsid w:val="00EB2381"/>
    <w:rPr>
      <w:lang w:val="fr-FR"/>
    </w:rPr>
  </w:style>
  <w:style w:type="character" w:customStyle="1" w:styleId="FootnoteTextChar">
    <w:name w:val="Footnote Text Char"/>
    <w:basedOn w:val="DefaultParagraphFont"/>
    <w:link w:val="FootnoteText"/>
    <w:uiPriority w:val="99"/>
    <w:semiHidden/>
    <w:locked/>
    <w:rPr>
      <w:rFonts w:ascii="Arial" w:hAnsi="Arial" w:cs="Arial"/>
      <w:sz w:val="20"/>
      <w:szCs w:val="20"/>
      <w:lang w:val="sv-SE"/>
    </w:rPr>
  </w:style>
  <w:style w:type="character" w:styleId="FootnoteReference">
    <w:name w:val="footnote reference"/>
    <w:basedOn w:val="DefaultParagraphFont"/>
    <w:uiPriority w:val="99"/>
    <w:semiHidden/>
    <w:rsid w:val="00EB2381"/>
    <w:rPr>
      <w:rFonts w:cs="Times New Roman"/>
      <w:vertAlign w:val="superscript"/>
    </w:rPr>
  </w:style>
  <w:style w:type="paragraph" w:styleId="DocumentMap">
    <w:name w:val="Document Map"/>
    <w:basedOn w:val="Normal"/>
    <w:link w:val="DocumentMapChar"/>
    <w:uiPriority w:val="99"/>
    <w:semiHidden/>
    <w:rsid w:val="00EB2381"/>
    <w:pPr>
      <w:shd w:val="clear" w:color="auto" w:fill="000080"/>
    </w:pPr>
    <w:rPr>
      <w:sz w:val="24"/>
      <w:szCs w:val="24"/>
      <w:lang w:val="fr-FR"/>
    </w:rPr>
  </w:style>
  <w:style w:type="character" w:customStyle="1" w:styleId="DocumentMapChar">
    <w:name w:val="Document Map Char"/>
    <w:basedOn w:val="DefaultParagraphFont"/>
    <w:link w:val="DocumentMap"/>
    <w:uiPriority w:val="99"/>
    <w:semiHidden/>
    <w:locked/>
    <w:rPr>
      <w:rFonts w:cs="Times New Roman"/>
      <w:sz w:val="2"/>
      <w:szCs w:val="2"/>
      <w:lang w:val="sv-SE"/>
    </w:rPr>
  </w:style>
  <w:style w:type="paragraph" w:customStyle="1" w:styleId="bulletsub">
    <w:name w:val="bullet_sub"/>
    <w:basedOn w:val="Normal"/>
    <w:uiPriority w:val="99"/>
    <w:rsid w:val="00EB238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lang w:val="en-GB"/>
    </w:rPr>
  </w:style>
  <w:style w:type="paragraph" w:customStyle="1" w:styleId="SubTitle1">
    <w:name w:val="SubTitle 1"/>
    <w:basedOn w:val="Normal"/>
    <w:next w:val="SubTitle2"/>
    <w:uiPriority w:val="99"/>
    <w:rsid w:val="00EB2381"/>
    <w:pPr>
      <w:spacing w:after="240"/>
      <w:jc w:val="center"/>
    </w:pPr>
    <w:rPr>
      <w:b/>
      <w:bCs/>
      <w:sz w:val="40"/>
      <w:szCs w:val="40"/>
      <w:lang w:val="en-GB"/>
    </w:rPr>
  </w:style>
  <w:style w:type="paragraph" w:customStyle="1" w:styleId="SubTitle2">
    <w:name w:val="SubTitle 2"/>
    <w:basedOn w:val="Normal"/>
    <w:uiPriority w:val="99"/>
    <w:rsid w:val="00EB2381"/>
    <w:pPr>
      <w:spacing w:after="240"/>
      <w:jc w:val="center"/>
    </w:pPr>
    <w:rPr>
      <w:b/>
      <w:bCs/>
      <w:sz w:val="32"/>
      <w:szCs w:val="32"/>
      <w:lang w:val="en-GB"/>
    </w:rPr>
  </w:style>
  <w:style w:type="paragraph" w:customStyle="1" w:styleId="Annexetitle">
    <w:name w:val="Annexe_title"/>
    <w:basedOn w:val="Heading1"/>
    <w:next w:val="Normal"/>
    <w:autoRedefine/>
    <w:uiPriority w:val="99"/>
    <w:rsid w:val="00EB2381"/>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EB2381"/>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EB2381"/>
    <w:pPr>
      <w:spacing w:before="240"/>
      <w:ind w:left="1701"/>
      <w:jc w:val="right"/>
    </w:pPr>
    <w:rPr>
      <w:rFonts w:ascii="Optima" w:hAnsi="Optima" w:cs="Optima"/>
      <w:b/>
      <w:bCs/>
      <w:sz w:val="28"/>
      <w:szCs w:val="28"/>
      <w:lang w:val="en-GB"/>
    </w:rPr>
  </w:style>
  <w:style w:type="paragraph" w:styleId="TOC1">
    <w:name w:val="toc 1"/>
    <w:basedOn w:val="Normal"/>
    <w:next w:val="Normal"/>
    <w:autoRedefine/>
    <w:uiPriority w:val="99"/>
    <w:semiHidden/>
    <w:rsid w:val="00EB2381"/>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EB2381"/>
    <w:pPr>
      <w:spacing w:before="0" w:after="0"/>
      <w:ind w:left="200"/>
    </w:pPr>
    <w:rPr>
      <w:smallCaps/>
    </w:rPr>
  </w:style>
  <w:style w:type="character" w:styleId="Strong">
    <w:name w:val="Strong"/>
    <w:basedOn w:val="DefaultParagraphFont"/>
    <w:uiPriority w:val="99"/>
    <w:qFormat/>
    <w:rsid w:val="00EB2381"/>
    <w:rPr>
      <w:rFonts w:cs="Times New Roman"/>
      <w:b/>
      <w:bCs/>
    </w:rPr>
  </w:style>
  <w:style w:type="paragraph" w:customStyle="1" w:styleId="Blockquote">
    <w:name w:val="Blockquote"/>
    <w:basedOn w:val="Normal"/>
    <w:uiPriority w:val="99"/>
    <w:rsid w:val="00EB2381"/>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EB2381"/>
    <w:pPr>
      <w:spacing w:before="0" w:after="0"/>
      <w:ind w:left="400"/>
    </w:pPr>
    <w:rPr>
      <w:i/>
      <w:iCs/>
    </w:rPr>
  </w:style>
  <w:style w:type="paragraph" w:styleId="TOC4">
    <w:name w:val="toc 4"/>
    <w:basedOn w:val="Normal"/>
    <w:next w:val="Normal"/>
    <w:autoRedefine/>
    <w:uiPriority w:val="99"/>
    <w:semiHidden/>
    <w:rsid w:val="00EB2381"/>
    <w:pPr>
      <w:spacing w:before="0" w:after="0"/>
      <w:ind w:left="600"/>
    </w:pPr>
    <w:rPr>
      <w:sz w:val="18"/>
      <w:szCs w:val="18"/>
    </w:rPr>
  </w:style>
  <w:style w:type="paragraph" w:styleId="TOC5">
    <w:name w:val="toc 5"/>
    <w:basedOn w:val="Normal"/>
    <w:next w:val="Normal"/>
    <w:autoRedefine/>
    <w:uiPriority w:val="99"/>
    <w:semiHidden/>
    <w:rsid w:val="00EB2381"/>
    <w:pPr>
      <w:spacing w:before="0" w:after="0"/>
      <w:ind w:left="800"/>
    </w:pPr>
    <w:rPr>
      <w:sz w:val="18"/>
      <w:szCs w:val="18"/>
    </w:rPr>
  </w:style>
  <w:style w:type="paragraph" w:styleId="TOC6">
    <w:name w:val="toc 6"/>
    <w:basedOn w:val="Normal"/>
    <w:next w:val="Normal"/>
    <w:autoRedefine/>
    <w:uiPriority w:val="99"/>
    <w:semiHidden/>
    <w:rsid w:val="00EB2381"/>
    <w:pPr>
      <w:spacing w:before="0" w:after="0"/>
      <w:ind w:left="1000"/>
    </w:pPr>
    <w:rPr>
      <w:sz w:val="18"/>
      <w:szCs w:val="18"/>
    </w:rPr>
  </w:style>
  <w:style w:type="paragraph" w:styleId="TOC7">
    <w:name w:val="toc 7"/>
    <w:basedOn w:val="Normal"/>
    <w:next w:val="Normal"/>
    <w:autoRedefine/>
    <w:uiPriority w:val="99"/>
    <w:semiHidden/>
    <w:rsid w:val="00EB2381"/>
    <w:pPr>
      <w:spacing w:before="0" w:after="0"/>
      <w:ind w:left="1200"/>
    </w:pPr>
    <w:rPr>
      <w:sz w:val="18"/>
      <w:szCs w:val="18"/>
    </w:rPr>
  </w:style>
  <w:style w:type="paragraph" w:styleId="TOC8">
    <w:name w:val="toc 8"/>
    <w:basedOn w:val="Normal"/>
    <w:next w:val="Normal"/>
    <w:autoRedefine/>
    <w:uiPriority w:val="99"/>
    <w:semiHidden/>
    <w:rsid w:val="00EB2381"/>
    <w:pPr>
      <w:spacing w:before="0" w:after="0"/>
      <w:ind w:left="1400"/>
    </w:pPr>
    <w:rPr>
      <w:sz w:val="18"/>
      <w:szCs w:val="18"/>
    </w:rPr>
  </w:style>
  <w:style w:type="paragraph" w:styleId="TOC9">
    <w:name w:val="toc 9"/>
    <w:basedOn w:val="Normal"/>
    <w:next w:val="Normal"/>
    <w:autoRedefine/>
    <w:uiPriority w:val="99"/>
    <w:semiHidden/>
    <w:rsid w:val="00EB2381"/>
    <w:pPr>
      <w:spacing w:before="0" w:after="0"/>
      <w:ind w:left="1600"/>
    </w:pPr>
    <w:rPr>
      <w:sz w:val="18"/>
      <w:szCs w:val="18"/>
    </w:rPr>
  </w:style>
  <w:style w:type="character" w:styleId="FollowedHyperlink">
    <w:name w:val="FollowedHyperlink"/>
    <w:basedOn w:val="DefaultParagraphFont"/>
    <w:uiPriority w:val="99"/>
    <w:rsid w:val="00EB2381"/>
    <w:rPr>
      <w:rFonts w:cs="Times New Roman"/>
      <w:color w:val="800080"/>
      <w:u w:val="single"/>
    </w:rPr>
  </w:style>
  <w:style w:type="paragraph" w:customStyle="1" w:styleId="Style2">
    <w:name w:val="Style2"/>
    <w:basedOn w:val="Style1"/>
    <w:uiPriority w:val="99"/>
    <w:rsid w:val="00EB2381"/>
    <w:pPr>
      <w:tabs>
        <w:tab w:val="clear" w:pos="992"/>
        <w:tab w:val="num" w:pos="2091"/>
      </w:tabs>
      <w:ind w:left="2977"/>
      <w:jc w:val="both"/>
    </w:pPr>
  </w:style>
  <w:style w:type="paragraph" w:customStyle="1" w:styleId="text">
    <w:name w:val="text"/>
    <w:uiPriority w:val="99"/>
    <w:rsid w:val="00EB2381"/>
    <w:pPr>
      <w:widowControl w:val="0"/>
      <w:spacing w:before="240" w:line="240" w:lineRule="exact"/>
      <w:jc w:val="both"/>
    </w:pPr>
    <w:rPr>
      <w:rFonts w:ascii="Arial" w:hAnsi="Arial" w:cs="Arial"/>
      <w:sz w:val="24"/>
      <w:szCs w:val="24"/>
      <w:lang w:val="cs-CZ"/>
    </w:rPr>
  </w:style>
  <w:style w:type="paragraph" w:customStyle="1" w:styleId="Section">
    <w:name w:val="Section"/>
    <w:basedOn w:val="Normal"/>
    <w:uiPriority w:val="99"/>
    <w:rsid w:val="00EB2381"/>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EB2381"/>
    <w:pPr>
      <w:ind w:left="851" w:hanging="851"/>
      <w:jc w:val="both"/>
    </w:pPr>
    <w:rPr>
      <w:sz w:val="24"/>
      <w:szCs w:val="24"/>
      <w:lang w:val="fr-FR"/>
    </w:rPr>
  </w:style>
  <w:style w:type="table" w:styleId="TableGrid">
    <w:name w:val="Table Grid"/>
    <w:basedOn w:val="TableNormal"/>
    <w:uiPriority w:val="99"/>
    <w:rsid w:val="00F90A9F"/>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before="0" w:after="0"/>
      <w:jc w:val="both"/>
    </w:pPr>
    <w:rPr>
      <w:sz w:val="24"/>
      <w:szCs w:val="24"/>
      <w:lang w:eastAsia="en-GB"/>
    </w:rPr>
  </w:style>
  <w:style w:type="character" w:customStyle="1" w:styleId="BodyText2Char">
    <w:name w:val="Body Text 2 Char"/>
    <w:basedOn w:val="DefaultParagraphFont"/>
    <w:link w:val="BodyText2"/>
    <w:uiPriority w:val="99"/>
    <w:semiHidden/>
    <w:locked/>
    <w:rPr>
      <w:rFonts w:ascii="Arial" w:hAnsi="Arial" w:cs="Arial"/>
      <w:sz w:val="20"/>
      <w:szCs w:val="20"/>
      <w:lang w:val="sv-SE"/>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B2558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lang w:val="sv-SE"/>
    </w:rPr>
  </w:style>
  <w:style w:type="character" w:styleId="CommentReference">
    <w:name w:val="annotation reference"/>
    <w:basedOn w:val="DefaultParagraphFont"/>
    <w:uiPriority w:val="99"/>
    <w:semiHidden/>
    <w:rsid w:val="00CF7AAC"/>
    <w:rPr>
      <w:rFonts w:cs="Times New Roman"/>
      <w:sz w:val="16"/>
      <w:szCs w:val="16"/>
    </w:rPr>
  </w:style>
  <w:style w:type="paragraph" w:styleId="CommentText">
    <w:name w:val="annotation text"/>
    <w:basedOn w:val="Normal"/>
    <w:link w:val="CommentTextChar"/>
    <w:uiPriority w:val="99"/>
    <w:semiHidden/>
    <w:rsid w:val="00CF7AAC"/>
  </w:style>
  <w:style w:type="character" w:customStyle="1" w:styleId="CommentTextChar">
    <w:name w:val="Comment Text Char"/>
    <w:basedOn w:val="DefaultParagraphFont"/>
    <w:link w:val="CommentText"/>
    <w:uiPriority w:val="99"/>
    <w:locked/>
    <w:rsid w:val="00CF7AAC"/>
    <w:rPr>
      <w:rFonts w:ascii="Arial" w:hAnsi="Arial" w:cs="Arial"/>
      <w:snapToGrid w:val="0"/>
      <w:lang w:val="sv-SE" w:eastAsia="en-US"/>
    </w:rPr>
  </w:style>
  <w:style w:type="paragraph" w:styleId="CommentSubject">
    <w:name w:val="annotation subject"/>
    <w:basedOn w:val="CommentText"/>
    <w:next w:val="CommentText"/>
    <w:link w:val="CommentSubjectChar"/>
    <w:uiPriority w:val="99"/>
    <w:semiHidden/>
    <w:rsid w:val="00CF7AAC"/>
    <w:rPr>
      <w:b/>
      <w:bCs/>
    </w:rPr>
  </w:style>
  <w:style w:type="character" w:customStyle="1" w:styleId="CommentSubjectChar">
    <w:name w:val="Comment Subject Char"/>
    <w:basedOn w:val="CommentTextChar"/>
    <w:link w:val="CommentSubject"/>
    <w:uiPriority w:val="99"/>
    <w:locked/>
    <w:rsid w:val="00CF7AA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1986</Words>
  <Characters>11321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Customer</cp:lastModifiedBy>
  <cp:revision>2</cp:revision>
  <cp:lastPrinted>2012-09-24T10:13:00Z</cp:lastPrinted>
  <dcterms:created xsi:type="dcterms:W3CDTF">2019-12-17T13:27:00Z</dcterms:created>
  <dcterms:modified xsi:type="dcterms:W3CDTF">2019-12-17T13:27:00Z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