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C53" w:rsidRDefault="004E0C53" w:rsidP="00715444">
      <w:pPr>
        <w:tabs>
          <w:tab w:val="left" w:pos="2910"/>
        </w:tabs>
        <w:rPr>
          <w:rFonts w:ascii="Arial" w:hAnsi="Arial" w:cs="Arial"/>
          <w:sz w:val="22"/>
          <w:szCs w:val="22"/>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0"/>
        <w:gridCol w:w="1134"/>
        <w:gridCol w:w="1276"/>
        <w:gridCol w:w="1275"/>
      </w:tblGrid>
      <w:tr w:rsidR="004E0C53" w:rsidRPr="004F4330">
        <w:trPr>
          <w:cantSplit/>
          <w:jc w:val="center"/>
        </w:trPr>
        <w:tc>
          <w:tcPr>
            <w:tcW w:w="3970" w:type="dxa"/>
            <w:vAlign w:val="center"/>
          </w:tcPr>
          <w:p w:rsidR="004E0C53" w:rsidRDefault="004E0C53">
            <w:pPr>
              <w:rPr>
                <w:rFonts w:ascii="Arial" w:hAnsi="Arial" w:cs="Arial"/>
                <w:b/>
                <w:bCs/>
                <w:sz w:val="18"/>
                <w:szCs w:val="18"/>
              </w:rPr>
            </w:pPr>
          </w:p>
        </w:tc>
        <w:tc>
          <w:tcPr>
            <w:tcW w:w="1134" w:type="dxa"/>
            <w:vAlign w:val="center"/>
          </w:tcPr>
          <w:p w:rsidR="004E0C53" w:rsidRPr="004F4330" w:rsidRDefault="004E0C53">
            <w:pPr>
              <w:jc w:val="center"/>
              <w:rPr>
                <w:b/>
                <w:bCs/>
                <w:sz w:val="20"/>
                <w:szCs w:val="20"/>
              </w:rPr>
            </w:pPr>
            <w:r w:rsidRPr="004F4330">
              <w:rPr>
                <w:b/>
                <w:bCs/>
                <w:sz w:val="20"/>
                <w:szCs w:val="20"/>
              </w:rPr>
              <w:t xml:space="preserve">Maximum </w:t>
            </w:r>
          </w:p>
        </w:tc>
        <w:tc>
          <w:tcPr>
            <w:tcW w:w="1276" w:type="dxa"/>
            <w:vAlign w:val="center"/>
          </w:tcPr>
          <w:p w:rsidR="004E0C53" w:rsidRPr="004F4330" w:rsidRDefault="004E0C53">
            <w:pPr>
              <w:jc w:val="center"/>
              <w:rPr>
                <w:b/>
                <w:bCs/>
                <w:sz w:val="20"/>
                <w:szCs w:val="20"/>
              </w:rPr>
            </w:pPr>
            <w:r w:rsidRPr="004F4330">
              <w:rPr>
                <w:b/>
                <w:bCs/>
                <w:sz w:val="20"/>
                <w:szCs w:val="20"/>
              </w:rPr>
              <w:t>Initial assessment</w:t>
            </w:r>
          </w:p>
        </w:tc>
        <w:tc>
          <w:tcPr>
            <w:tcW w:w="1275" w:type="dxa"/>
            <w:vAlign w:val="center"/>
          </w:tcPr>
          <w:p w:rsidR="004E0C53" w:rsidRPr="004F4330" w:rsidRDefault="004E0C53" w:rsidP="002B1BBC">
            <w:pPr>
              <w:jc w:val="center"/>
              <w:rPr>
                <w:b/>
                <w:bCs/>
                <w:sz w:val="20"/>
                <w:szCs w:val="20"/>
              </w:rPr>
            </w:pPr>
            <w:r w:rsidRPr="004F4330">
              <w:rPr>
                <w:b/>
                <w:bCs/>
                <w:sz w:val="20"/>
                <w:szCs w:val="20"/>
              </w:rPr>
              <w:t xml:space="preserve">Revised assessment </w:t>
            </w:r>
          </w:p>
        </w:tc>
      </w:tr>
      <w:tr w:rsidR="004E0C53" w:rsidRPr="004F4330">
        <w:trPr>
          <w:cantSplit/>
          <w:jc w:val="center"/>
        </w:trPr>
        <w:tc>
          <w:tcPr>
            <w:tcW w:w="3970" w:type="dxa"/>
            <w:vAlign w:val="center"/>
          </w:tcPr>
          <w:p w:rsidR="004E0C53" w:rsidRPr="004F4330" w:rsidRDefault="004E0C53" w:rsidP="00AA6262">
            <w:pPr>
              <w:spacing w:before="80" w:after="80"/>
              <w:rPr>
                <w:b/>
                <w:bCs/>
                <w:sz w:val="22"/>
                <w:szCs w:val="22"/>
              </w:rPr>
            </w:pPr>
            <w:r w:rsidRPr="004F4330">
              <w:rPr>
                <w:b/>
                <w:bCs/>
                <w:sz w:val="22"/>
                <w:szCs w:val="22"/>
              </w:rPr>
              <w:t>Organisation and methodology</w:t>
            </w:r>
          </w:p>
        </w:tc>
        <w:tc>
          <w:tcPr>
            <w:tcW w:w="1134" w:type="dxa"/>
            <w:vAlign w:val="center"/>
          </w:tcPr>
          <w:p w:rsidR="004E0C53" w:rsidRPr="004F4330" w:rsidRDefault="004E0C53" w:rsidP="00AA6262">
            <w:pPr>
              <w:spacing w:before="80" w:after="80"/>
              <w:jc w:val="center"/>
              <w:rPr>
                <w:b/>
                <w:bCs/>
                <w:sz w:val="22"/>
                <w:szCs w:val="22"/>
              </w:rPr>
            </w:pPr>
          </w:p>
        </w:tc>
        <w:tc>
          <w:tcPr>
            <w:tcW w:w="1276" w:type="dxa"/>
            <w:vAlign w:val="center"/>
          </w:tcPr>
          <w:p w:rsidR="004E0C53" w:rsidRPr="004F4330" w:rsidRDefault="004E0C53" w:rsidP="00AA6262">
            <w:pPr>
              <w:spacing w:before="80" w:after="80"/>
              <w:jc w:val="center"/>
              <w:rPr>
                <w:b/>
                <w:bCs/>
                <w:sz w:val="22"/>
                <w:szCs w:val="22"/>
              </w:rPr>
            </w:pPr>
          </w:p>
        </w:tc>
        <w:tc>
          <w:tcPr>
            <w:tcW w:w="1275" w:type="dxa"/>
            <w:vAlign w:val="center"/>
          </w:tcPr>
          <w:p w:rsidR="004E0C53" w:rsidRPr="004F4330" w:rsidRDefault="004E0C53" w:rsidP="00AA6262">
            <w:pPr>
              <w:spacing w:before="80" w:after="80"/>
              <w:jc w:val="center"/>
              <w:rPr>
                <w:b/>
                <w:bCs/>
                <w:sz w:val="22"/>
                <w:szCs w:val="22"/>
              </w:rPr>
            </w:pPr>
          </w:p>
        </w:tc>
      </w:tr>
      <w:tr w:rsidR="004E0C53" w:rsidRPr="004F4330">
        <w:trPr>
          <w:cantSplit/>
          <w:jc w:val="center"/>
        </w:trPr>
        <w:tc>
          <w:tcPr>
            <w:tcW w:w="3970" w:type="dxa"/>
            <w:vAlign w:val="center"/>
          </w:tcPr>
          <w:p w:rsidR="004E0C53" w:rsidRPr="004F4330" w:rsidRDefault="004E0C53">
            <w:pPr>
              <w:rPr>
                <w:sz w:val="22"/>
                <w:szCs w:val="22"/>
              </w:rPr>
            </w:pPr>
            <w:r w:rsidRPr="004F4330">
              <w:rPr>
                <w:sz w:val="22"/>
                <w:szCs w:val="22"/>
              </w:rPr>
              <w:t>Rationale</w:t>
            </w:r>
          </w:p>
        </w:tc>
        <w:tc>
          <w:tcPr>
            <w:tcW w:w="1134" w:type="dxa"/>
            <w:vAlign w:val="center"/>
          </w:tcPr>
          <w:p w:rsidR="004E0C53" w:rsidRPr="00F97D97" w:rsidRDefault="004E0C53">
            <w:pPr>
              <w:jc w:val="center"/>
              <w:rPr>
                <w:sz w:val="22"/>
                <w:szCs w:val="22"/>
                <w:highlight w:val="lightGray"/>
              </w:rPr>
            </w:pPr>
            <w:r w:rsidRPr="00F97D97">
              <w:rPr>
                <w:sz w:val="22"/>
                <w:szCs w:val="22"/>
                <w:highlight w:val="lightGray"/>
              </w:rPr>
              <w:t>[20]</w:t>
            </w:r>
            <w:r>
              <w:rPr>
                <w:sz w:val="22"/>
                <w:szCs w:val="22"/>
                <w:highlight w:val="lightGray"/>
              </w:rPr>
              <w:t xml:space="preserve"> [&lt;</w:t>
            </w:r>
            <w:r w:rsidRPr="00DF3B4B">
              <w:rPr>
                <w:sz w:val="22"/>
                <w:szCs w:val="22"/>
                <w:highlight w:val="yellow"/>
              </w:rPr>
              <w:t>other</w:t>
            </w:r>
            <w:r>
              <w:rPr>
                <w:sz w:val="22"/>
                <w:szCs w:val="22"/>
                <w:highlight w:val="lightGray"/>
              </w:rPr>
              <w:t>&gt;]</w:t>
            </w:r>
          </w:p>
        </w:tc>
        <w:tc>
          <w:tcPr>
            <w:tcW w:w="1276" w:type="dxa"/>
            <w:vAlign w:val="center"/>
          </w:tcPr>
          <w:p w:rsidR="004E0C53" w:rsidRPr="004F4330" w:rsidRDefault="004E0C53">
            <w:pPr>
              <w:jc w:val="center"/>
              <w:rPr>
                <w:sz w:val="22"/>
                <w:szCs w:val="22"/>
              </w:rPr>
            </w:pPr>
          </w:p>
        </w:tc>
        <w:tc>
          <w:tcPr>
            <w:tcW w:w="1275" w:type="dxa"/>
            <w:vAlign w:val="center"/>
          </w:tcPr>
          <w:p w:rsidR="004E0C53" w:rsidRPr="004F4330" w:rsidRDefault="004E0C53">
            <w:pPr>
              <w:jc w:val="center"/>
              <w:rPr>
                <w:sz w:val="22"/>
                <w:szCs w:val="22"/>
              </w:rPr>
            </w:pPr>
          </w:p>
        </w:tc>
      </w:tr>
      <w:tr w:rsidR="004E0C53" w:rsidRPr="004F4330">
        <w:trPr>
          <w:cantSplit/>
          <w:jc w:val="center"/>
        </w:trPr>
        <w:tc>
          <w:tcPr>
            <w:tcW w:w="3970" w:type="dxa"/>
            <w:vAlign w:val="center"/>
          </w:tcPr>
          <w:p w:rsidR="004E0C53" w:rsidRPr="004F4330" w:rsidRDefault="004E0C53">
            <w:pPr>
              <w:rPr>
                <w:sz w:val="22"/>
                <w:szCs w:val="22"/>
              </w:rPr>
            </w:pPr>
            <w:r w:rsidRPr="004F4330">
              <w:rPr>
                <w:sz w:val="22"/>
                <w:szCs w:val="22"/>
              </w:rPr>
              <w:t>Strategy</w:t>
            </w:r>
          </w:p>
        </w:tc>
        <w:tc>
          <w:tcPr>
            <w:tcW w:w="1134" w:type="dxa"/>
            <w:vAlign w:val="center"/>
          </w:tcPr>
          <w:p w:rsidR="004E0C53" w:rsidRPr="00F97D97" w:rsidRDefault="004E0C53" w:rsidP="00B046D2">
            <w:pPr>
              <w:jc w:val="center"/>
              <w:rPr>
                <w:sz w:val="22"/>
                <w:szCs w:val="22"/>
                <w:highlight w:val="lightGray"/>
              </w:rPr>
            </w:pPr>
            <w:r w:rsidRPr="00F97D97">
              <w:rPr>
                <w:sz w:val="22"/>
                <w:szCs w:val="22"/>
                <w:highlight w:val="lightGray"/>
              </w:rPr>
              <w:t>[40]</w:t>
            </w:r>
            <w:r>
              <w:rPr>
                <w:sz w:val="22"/>
                <w:szCs w:val="22"/>
                <w:highlight w:val="lightGray"/>
              </w:rPr>
              <w:t xml:space="preserve"> [&lt;</w:t>
            </w:r>
            <w:r w:rsidRPr="00DF3B4B">
              <w:rPr>
                <w:sz w:val="22"/>
                <w:szCs w:val="22"/>
                <w:highlight w:val="yellow"/>
              </w:rPr>
              <w:t>other</w:t>
            </w:r>
            <w:r>
              <w:rPr>
                <w:sz w:val="22"/>
                <w:szCs w:val="22"/>
                <w:highlight w:val="lightGray"/>
              </w:rPr>
              <w:t>&gt;]</w:t>
            </w:r>
          </w:p>
        </w:tc>
        <w:tc>
          <w:tcPr>
            <w:tcW w:w="1276" w:type="dxa"/>
            <w:vAlign w:val="center"/>
          </w:tcPr>
          <w:p w:rsidR="004E0C53" w:rsidRPr="004F4330" w:rsidRDefault="004E0C53">
            <w:pPr>
              <w:jc w:val="center"/>
              <w:rPr>
                <w:sz w:val="22"/>
                <w:szCs w:val="22"/>
              </w:rPr>
            </w:pPr>
          </w:p>
        </w:tc>
        <w:tc>
          <w:tcPr>
            <w:tcW w:w="1275" w:type="dxa"/>
            <w:vAlign w:val="center"/>
          </w:tcPr>
          <w:p w:rsidR="004E0C53" w:rsidRPr="004F4330" w:rsidRDefault="004E0C53">
            <w:pPr>
              <w:jc w:val="center"/>
              <w:rPr>
                <w:sz w:val="22"/>
                <w:szCs w:val="22"/>
              </w:rPr>
            </w:pPr>
          </w:p>
        </w:tc>
      </w:tr>
      <w:tr w:rsidR="004E0C53" w:rsidRPr="004F4330">
        <w:trPr>
          <w:cantSplit/>
          <w:jc w:val="center"/>
        </w:trPr>
        <w:tc>
          <w:tcPr>
            <w:tcW w:w="3970" w:type="dxa"/>
            <w:vAlign w:val="center"/>
          </w:tcPr>
          <w:p w:rsidR="004E0C53" w:rsidRPr="004F4330" w:rsidRDefault="004E0C53" w:rsidP="009231BE">
            <w:pPr>
              <w:rPr>
                <w:sz w:val="22"/>
                <w:szCs w:val="22"/>
              </w:rPr>
            </w:pPr>
            <w:r>
              <w:rPr>
                <w:sz w:val="22"/>
                <w:szCs w:val="22"/>
              </w:rPr>
              <w:t xml:space="preserve">Back-up function </w:t>
            </w:r>
          </w:p>
        </w:tc>
        <w:tc>
          <w:tcPr>
            <w:tcW w:w="1134" w:type="dxa"/>
            <w:vAlign w:val="center"/>
          </w:tcPr>
          <w:p w:rsidR="004E0C53" w:rsidRPr="00F97D97" w:rsidRDefault="004E0C53">
            <w:pPr>
              <w:jc w:val="center"/>
              <w:rPr>
                <w:sz w:val="22"/>
                <w:szCs w:val="22"/>
                <w:highlight w:val="lightGray"/>
              </w:rPr>
            </w:pPr>
            <w:r w:rsidRPr="00F97D97">
              <w:rPr>
                <w:sz w:val="22"/>
                <w:szCs w:val="22"/>
                <w:highlight w:val="lightGray"/>
              </w:rPr>
              <w:t>[10]</w:t>
            </w:r>
            <w:r>
              <w:rPr>
                <w:sz w:val="22"/>
                <w:szCs w:val="22"/>
                <w:highlight w:val="lightGray"/>
              </w:rPr>
              <w:t xml:space="preserve"> [&lt;</w:t>
            </w:r>
            <w:r w:rsidRPr="00DF3B4B">
              <w:rPr>
                <w:sz w:val="22"/>
                <w:szCs w:val="22"/>
                <w:highlight w:val="yellow"/>
              </w:rPr>
              <w:t>other</w:t>
            </w:r>
            <w:r>
              <w:rPr>
                <w:sz w:val="22"/>
                <w:szCs w:val="22"/>
                <w:highlight w:val="lightGray"/>
              </w:rPr>
              <w:t>&gt;]</w:t>
            </w:r>
          </w:p>
        </w:tc>
        <w:tc>
          <w:tcPr>
            <w:tcW w:w="1276" w:type="dxa"/>
            <w:vAlign w:val="center"/>
          </w:tcPr>
          <w:p w:rsidR="004E0C53" w:rsidRPr="004F4330" w:rsidRDefault="004E0C53">
            <w:pPr>
              <w:jc w:val="center"/>
              <w:rPr>
                <w:sz w:val="22"/>
                <w:szCs w:val="22"/>
              </w:rPr>
            </w:pPr>
          </w:p>
        </w:tc>
        <w:tc>
          <w:tcPr>
            <w:tcW w:w="1275" w:type="dxa"/>
            <w:vAlign w:val="center"/>
          </w:tcPr>
          <w:p w:rsidR="004E0C53" w:rsidRPr="004F4330" w:rsidRDefault="004E0C53">
            <w:pPr>
              <w:jc w:val="center"/>
              <w:rPr>
                <w:sz w:val="22"/>
                <w:szCs w:val="22"/>
              </w:rPr>
            </w:pPr>
          </w:p>
        </w:tc>
      </w:tr>
      <w:tr w:rsidR="004E0C53" w:rsidRPr="004F4330">
        <w:trPr>
          <w:cantSplit/>
          <w:jc w:val="center"/>
        </w:trPr>
        <w:tc>
          <w:tcPr>
            <w:tcW w:w="3970" w:type="dxa"/>
            <w:vAlign w:val="center"/>
          </w:tcPr>
          <w:p w:rsidR="004E0C53" w:rsidRPr="004F4330" w:rsidRDefault="004E0C53">
            <w:pPr>
              <w:rPr>
                <w:sz w:val="22"/>
                <w:szCs w:val="22"/>
              </w:rPr>
            </w:pPr>
            <w:r>
              <w:rPr>
                <w:sz w:val="22"/>
                <w:szCs w:val="22"/>
              </w:rPr>
              <w:t>Involvement of all members of the consortium</w:t>
            </w:r>
          </w:p>
        </w:tc>
        <w:tc>
          <w:tcPr>
            <w:tcW w:w="1134" w:type="dxa"/>
            <w:vAlign w:val="center"/>
          </w:tcPr>
          <w:p w:rsidR="004E0C53" w:rsidRPr="00F97D97" w:rsidRDefault="004E0C53">
            <w:pPr>
              <w:jc w:val="center"/>
              <w:rPr>
                <w:sz w:val="22"/>
                <w:szCs w:val="22"/>
                <w:highlight w:val="lightGray"/>
              </w:rPr>
            </w:pPr>
            <w:r w:rsidRPr="00F97D97">
              <w:rPr>
                <w:sz w:val="22"/>
                <w:szCs w:val="22"/>
                <w:highlight w:val="lightGray"/>
              </w:rPr>
              <w:t>[10]</w:t>
            </w:r>
            <w:r>
              <w:rPr>
                <w:sz w:val="22"/>
                <w:szCs w:val="22"/>
                <w:highlight w:val="lightGray"/>
              </w:rPr>
              <w:t xml:space="preserve"> [&lt;</w:t>
            </w:r>
            <w:r w:rsidRPr="00DF3B4B">
              <w:rPr>
                <w:sz w:val="22"/>
                <w:szCs w:val="22"/>
                <w:highlight w:val="yellow"/>
              </w:rPr>
              <w:t>other</w:t>
            </w:r>
            <w:r>
              <w:rPr>
                <w:sz w:val="22"/>
                <w:szCs w:val="22"/>
                <w:highlight w:val="lightGray"/>
              </w:rPr>
              <w:t>&gt;]</w:t>
            </w:r>
          </w:p>
        </w:tc>
        <w:tc>
          <w:tcPr>
            <w:tcW w:w="1276" w:type="dxa"/>
            <w:vAlign w:val="center"/>
          </w:tcPr>
          <w:p w:rsidR="004E0C53" w:rsidRPr="004F4330" w:rsidRDefault="004E0C53">
            <w:pPr>
              <w:jc w:val="center"/>
              <w:rPr>
                <w:sz w:val="22"/>
                <w:szCs w:val="22"/>
              </w:rPr>
            </w:pPr>
          </w:p>
        </w:tc>
        <w:tc>
          <w:tcPr>
            <w:tcW w:w="1275" w:type="dxa"/>
            <w:vAlign w:val="center"/>
          </w:tcPr>
          <w:p w:rsidR="004E0C53" w:rsidRPr="004F4330" w:rsidRDefault="004E0C53">
            <w:pPr>
              <w:jc w:val="center"/>
              <w:rPr>
                <w:sz w:val="22"/>
                <w:szCs w:val="22"/>
              </w:rPr>
            </w:pPr>
          </w:p>
        </w:tc>
      </w:tr>
      <w:tr w:rsidR="004E0C53" w:rsidRPr="004F4330">
        <w:trPr>
          <w:cantSplit/>
          <w:jc w:val="center"/>
        </w:trPr>
        <w:tc>
          <w:tcPr>
            <w:tcW w:w="3970" w:type="dxa"/>
            <w:vAlign w:val="center"/>
          </w:tcPr>
          <w:p w:rsidR="004E0C53" w:rsidRPr="004F4330" w:rsidRDefault="004E0C53" w:rsidP="00C72913">
            <w:pPr>
              <w:rPr>
                <w:sz w:val="22"/>
                <w:szCs w:val="22"/>
              </w:rPr>
            </w:pPr>
            <w:r w:rsidRPr="004F4330">
              <w:rPr>
                <w:sz w:val="22"/>
                <w:szCs w:val="22"/>
              </w:rPr>
              <w:t>Timetable of activities</w:t>
            </w:r>
          </w:p>
        </w:tc>
        <w:tc>
          <w:tcPr>
            <w:tcW w:w="1134" w:type="dxa"/>
            <w:vAlign w:val="center"/>
          </w:tcPr>
          <w:p w:rsidR="004E0C53" w:rsidRPr="00F97D97" w:rsidRDefault="004E0C53">
            <w:pPr>
              <w:jc w:val="center"/>
              <w:rPr>
                <w:sz w:val="22"/>
                <w:szCs w:val="22"/>
                <w:highlight w:val="lightGray"/>
              </w:rPr>
            </w:pPr>
            <w:r w:rsidRPr="00F97D97">
              <w:rPr>
                <w:sz w:val="22"/>
                <w:szCs w:val="22"/>
                <w:highlight w:val="lightGray"/>
              </w:rPr>
              <w:t>[20]</w:t>
            </w:r>
            <w:r>
              <w:rPr>
                <w:sz w:val="22"/>
                <w:szCs w:val="22"/>
                <w:highlight w:val="lightGray"/>
              </w:rPr>
              <w:t xml:space="preserve"> [&lt;</w:t>
            </w:r>
            <w:r w:rsidRPr="00DF3B4B">
              <w:rPr>
                <w:sz w:val="22"/>
                <w:szCs w:val="22"/>
                <w:highlight w:val="yellow"/>
              </w:rPr>
              <w:t>other</w:t>
            </w:r>
            <w:r>
              <w:rPr>
                <w:sz w:val="22"/>
                <w:szCs w:val="22"/>
                <w:highlight w:val="lightGray"/>
              </w:rPr>
              <w:t>&gt;]</w:t>
            </w:r>
          </w:p>
        </w:tc>
        <w:tc>
          <w:tcPr>
            <w:tcW w:w="1276" w:type="dxa"/>
            <w:vAlign w:val="center"/>
          </w:tcPr>
          <w:p w:rsidR="004E0C53" w:rsidRPr="004F4330" w:rsidRDefault="004E0C53">
            <w:pPr>
              <w:jc w:val="center"/>
              <w:rPr>
                <w:sz w:val="22"/>
                <w:szCs w:val="22"/>
              </w:rPr>
            </w:pPr>
          </w:p>
        </w:tc>
        <w:tc>
          <w:tcPr>
            <w:tcW w:w="1275" w:type="dxa"/>
            <w:vAlign w:val="center"/>
          </w:tcPr>
          <w:p w:rsidR="004E0C53" w:rsidRPr="004F4330" w:rsidRDefault="004E0C53">
            <w:pPr>
              <w:jc w:val="center"/>
              <w:rPr>
                <w:sz w:val="22"/>
                <w:szCs w:val="22"/>
              </w:rPr>
            </w:pPr>
          </w:p>
        </w:tc>
      </w:tr>
      <w:tr w:rsidR="004E0C53" w:rsidRPr="004F4330">
        <w:trPr>
          <w:cantSplit/>
          <w:jc w:val="center"/>
        </w:trPr>
        <w:tc>
          <w:tcPr>
            <w:tcW w:w="3970" w:type="dxa"/>
            <w:shd w:val="clear" w:color="auto" w:fill="D9D9D9"/>
            <w:vAlign w:val="center"/>
          </w:tcPr>
          <w:p w:rsidR="004E0C53" w:rsidRPr="004F4330" w:rsidRDefault="004E0C53" w:rsidP="00CF228E">
            <w:pPr>
              <w:spacing w:before="80" w:after="80"/>
              <w:rPr>
                <w:b/>
                <w:bCs/>
                <w:sz w:val="22"/>
                <w:szCs w:val="22"/>
              </w:rPr>
            </w:pPr>
            <w:r w:rsidRPr="004F4330">
              <w:rPr>
                <w:b/>
                <w:bCs/>
                <w:sz w:val="22"/>
                <w:szCs w:val="22"/>
              </w:rPr>
              <w:t xml:space="preserve">Total score for </w:t>
            </w:r>
            <w:r>
              <w:rPr>
                <w:b/>
                <w:bCs/>
                <w:sz w:val="22"/>
                <w:szCs w:val="22"/>
              </w:rPr>
              <w:t>o</w:t>
            </w:r>
            <w:r w:rsidRPr="004F4330">
              <w:rPr>
                <w:b/>
                <w:bCs/>
                <w:sz w:val="22"/>
                <w:szCs w:val="22"/>
              </w:rPr>
              <w:t>rganisation and methodology</w:t>
            </w:r>
          </w:p>
        </w:tc>
        <w:tc>
          <w:tcPr>
            <w:tcW w:w="1134" w:type="dxa"/>
            <w:shd w:val="clear" w:color="auto" w:fill="D9D9D9"/>
            <w:vAlign w:val="center"/>
          </w:tcPr>
          <w:p w:rsidR="004E0C53" w:rsidRPr="004F4330" w:rsidRDefault="004E0C53" w:rsidP="00AA6262">
            <w:pPr>
              <w:spacing w:before="80" w:after="80"/>
              <w:jc w:val="center"/>
              <w:rPr>
                <w:b/>
                <w:bCs/>
                <w:sz w:val="22"/>
                <w:szCs w:val="22"/>
              </w:rPr>
            </w:pPr>
            <w:r>
              <w:rPr>
                <w:b/>
                <w:bCs/>
                <w:sz w:val="22"/>
                <w:szCs w:val="22"/>
              </w:rPr>
              <w:t>100</w:t>
            </w:r>
          </w:p>
        </w:tc>
        <w:tc>
          <w:tcPr>
            <w:tcW w:w="1276" w:type="dxa"/>
            <w:shd w:val="clear" w:color="auto" w:fill="D9D9D9"/>
            <w:vAlign w:val="center"/>
          </w:tcPr>
          <w:p w:rsidR="004E0C53" w:rsidRPr="004F4330" w:rsidRDefault="004E0C53" w:rsidP="00AA6262">
            <w:pPr>
              <w:spacing w:before="80" w:after="80"/>
              <w:jc w:val="center"/>
              <w:rPr>
                <w:b/>
                <w:bCs/>
                <w:sz w:val="22"/>
                <w:szCs w:val="22"/>
              </w:rPr>
            </w:pPr>
          </w:p>
        </w:tc>
        <w:tc>
          <w:tcPr>
            <w:tcW w:w="1275" w:type="dxa"/>
            <w:shd w:val="clear" w:color="auto" w:fill="D9D9D9"/>
            <w:vAlign w:val="center"/>
          </w:tcPr>
          <w:p w:rsidR="004E0C53" w:rsidRPr="004F4330" w:rsidRDefault="004E0C53" w:rsidP="00AA6262">
            <w:pPr>
              <w:spacing w:before="80" w:after="80"/>
              <w:jc w:val="center"/>
              <w:rPr>
                <w:b/>
                <w:bCs/>
                <w:sz w:val="22"/>
                <w:szCs w:val="22"/>
              </w:rPr>
            </w:pPr>
          </w:p>
        </w:tc>
      </w:tr>
      <w:tr w:rsidR="004E0C53" w:rsidRPr="004F4330">
        <w:trPr>
          <w:cantSplit/>
          <w:jc w:val="center"/>
        </w:trPr>
        <w:tc>
          <w:tcPr>
            <w:tcW w:w="3970" w:type="dxa"/>
            <w:shd w:val="clear" w:color="auto" w:fill="B3B3B3"/>
            <w:vAlign w:val="center"/>
          </w:tcPr>
          <w:p w:rsidR="004E0C53" w:rsidRPr="004F4330" w:rsidRDefault="004E0C53" w:rsidP="00AA6262">
            <w:pPr>
              <w:spacing w:before="120" w:after="120"/>
              <w:rPr>
                <w:b/>
                <w:bCs/>
                <w:sz w:val="22"/>
                <w:szCs w:val="22"/>
              </w:rPr>
            </w:pPr>
            <w:r w:rsidRPr="004F4330">
              <w:rPr>
                <w:b/>
                <w:bCs/>
                <w:sz w:val="22"/>
                <w:szCs w:val="22"/>
              </w:rPr>
              <w:t>Overall total score</w:t>
            </w:r>
          </w:p>
        </w:tc>
        <w:tc>
          <w:tcPr>
            <w:tcW w:w="1134" w:type="dxa"/>
            <w:shd w:val="clear" w:color="auto" w:fill="B3B3B3"/>
            <w:vAlign w:val="center"/>
          </w:tcPr>
          <w:p w:rsidR="004E0C53" w:rsidRPr="004F4330" w:rsidRDefault="004E0C53" w:rsidP="00AA6262">
            <w:pPr>
              <w:spacing w:before="120" w:after="120"/>
              <w:jc w:val="center"/>
              <w:rPr>
                <w:b/>
                <w:bCs/>
                <w:sz w:val="22"/>
                <w:szCs w:val="22"/>
              </w:rPr>
            </w:pPr>
            <w:r w:rsidRPr="004F4330">
              <w:rPr>
                <w:b/>
                <w:bCs/>
                <w:sz w:val="22"/>
                <w:szCs w:val="22"/>
              </w:rPr>
              <w:t>100</w:t>
            </w:r>
          </w:p>
        </w:tc>
        <w:tc>
          <w:tcPr>
            <w:tcW w:w="1276" w:type="dxa"/>
            <w:shd w:val="clear" w:color="auto" w:fill="B3B3B3"/>
            <w:vAlign w:val="center"/>
          </w:tcPr>
          <w:p w:rsidR="004E0C53" w:rsidRPr="004F4330" w:rsidRDefault="004E0C53" w:rsidP="00AA6262">
            <w:pPr>
              <w:spacing w:before="120" w:after="120"/>
              <w:jc w:val="center"/>
              <w:rPr>
                <w:b/>
                <w:bCs/>
                <w:sz w:val="22"/>
                <w:szCs w:val="22"/>
              </w:rPr>
            </w:pPr>
          </w:p>
        </w:tc>
        <w:tc>
          <w:tcPr>
            <w:tcW w:w="1275" w:type="dxa"/>
            <w:shd w:val="clear" w:color="auto" w:fill="B3B3B3"/>
            <w:vAlign w:val="center"/>
          </w:tcPr>
          <w:p w:rsidR="004E0C53" w:rsidRPr="004F4330" w:rsidRDefault="004E0C53" w:rsidP="00AA6262">
            <w:pPr>
              <w:spacing w:before="120" w:after="120"/>
              <w:jc w:val="center"/>
              <w:rPr>
                <w:b/>
                <w:bCs/>
                <w:sz w:val="22"/>
                <w:szCs w:val="22"/>
              </w:rPr>
            </w:pPr>
          </w:p>
        </w:tc>
      </w:tr>
    </w:tbl>
    <w:p w:rsidR="004E0C53" w:rsidRPr="004F4330" w:rsidRDefault="004E0C53">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513"/>
      </w:tblGrid>
      <w:tr w:rsidR="004E0C53" w:rsidRPr="004F4330">
        <w:trPr>
          <w:trHeight w:val="379"/>
          <w:jc w:val="center"/>
        </w:trPr>
        <w:tc>
          <w:tcPr>
            <w:tcW w:w="1384" w:type="dxa"/>
            <w:shd w:val="pct10" w:color="auto" w:fill="FFFFFF"/>
            <w:vAlign w:val="center"/>
          </w:tcPr>
          <w:p w:rsidR="004E0C53" w:rsidRPr="004F4330" w:rsidRDefault="004E0C53">
            <w:pPr>
              <w:spacing w:before="120" w:after="120"/>
              <w:rPr>
                <w:b/>
                <w:bCs/>
                <w:sz w:val="22"/>
                <w:szCs w:val="22"/>
              </w:rPr>
            </w:pPr>
            <w:r w:rsidRPr="004F4330">
              <w:rPr>
                <w:b/>
                <w:bCs/>
                <w:sz w:val="22"/>
                <w:szCs w:val="22"/>
              </w:rPr>
              <w:t>Strengths</w:t>
            </w:r>
          </w:p>
        </w:tc>
        <w:tc>
          <w:tcPr>
            <w:tcW w:w="7513" w:type="dxa"/>
            <w:vAlign w:val="center"/>
          </w:tcPr>
          <w:p w:rsidR="004E0C53" w:rsidRDefault="004E0C53">
            <w:pPr>
              <w:spacing w:before="40" w:after="40"/>
              <w:rPr>
                <w:sz w:val="22"/>
                <w:szCs w:val="22"/>
              </w:rPr>
            </w:pPr>
          </w:p>
          <w:p w:rsidR="004E0C53" w:rsidRDefault="004E0C53">
            <w:pPr>
              <w:spacing w:before="40" w:after="40"/>
              <w:rPr>
                <w:sz w:val="22"/>
                <w:szCs w:val="22"/>
              </w:rPr>
            </w:pPr>
          </w:p>
          <w:p w:rsidR="004E0C53" w:rsidRDefault="004E0C53">
            <w:pPr>
              <w:spacing w:before="40" w:after="40"/>
              <w:rPr>
                <w:sz w:val="22"/>
                <w:szCs w:val="22"/>
              </w:rPr>
            </w:pPr>
          </w:p>
          <w:p w:rsidR="004E0C53" w:rsidRDefault="004E0C53">
            <w:pPr>
              <w:spacing w:before="40" w:after="40"/>
              <w:rPr>
                <w:sz w:val="22"/>
                <w:szCs w:val="22"/>
              </w:rPr>
            </w:pPr>
          </w:p>
          <w:p w:rsidR="004E0C53" w:rsidRPr="004F4330" w:rsidRDefault="004E0C53">
            <w:pPr>
              <w:spacing w:before="40" w:after="40"/>
              <w:rPr>
                <w:sz w:val="22"/>
                <w:szCs w:val="22"/>
              </w:rPr>
            </w:pPr>
          </w:p>
        </w:tc>
      </w:tr>
      <w:tr w:rsidR="004E0C53" w:rsidRPr="004F4330">
        <w:trPr>
          <w:jc w:val="center"/>
        </w:trPr>
        <w:tc>
          <w:tcPr>
            <w:tcW w:w="1384" w:type="dxa"/>
            <w:shd w:val="pct10" w:color="auto" w:fill="FFFFFF"/>
            <w:vAlign w:val="center"/>
          </w:tcPr>
          <w:p w:rsidR="004E0C53" w:rsidRPr="004F4330" w:rsidRDefault="004E0C53">
            <w:pPr>
              <w:spacing w:before="120" w:after="120"/>
              <w:rPr>
                <w:b/>
                <w:bCs/>
                <w:sz w:val="22"/>
                <w:szCs w:val="22"/>
              </w:rPr>
            </w:pPr>
            <w:r w:rsidRPr="004F4330">
              <w:rPr>
                <w:b/>
                <w:bCs/>
                <w:sz w:val="22"/>
                <w:szCs w:val="22"/>
              </w:rPr>
              <w:t>Weaknesses</w:t>
            </w:r>
          </w:p>
        </w:tc>
        <w:tc>
          <w:tcPr>
            <w:tcW w:w="7513" w:type="dxa"/>
            <w:vAlign w:val="center"/>
          </w:tcPr>
          <w:p w:rsidR="004E0C53" w:rsidRDefault="004E0C53">
            <w:pPr>
              <w:spacing w:before="40" w:after="40"/>
              <w:rPr>
                <w:sz w:val="22"/>
                <w:szCs w:val="22"/>
              </w:rPr>
            </w:pPr>
          </w:p>
          <w:p w:rsidR="004E0C53" w:rsidRDefault="004E0C53">
            <w:pPr>
              <w:spacing w:before="40" w:after="40"/>
              <w:rPr>
                <w:sz w:val="22"/>
                <w:szCs w:val="22"/>
              </w:rPr>
            </w:pPr>
          </w:p>
          <w:p w:rsidR="004E0C53" w:rsidRDefault="004E0C53">
            <w:pPr>
              <w:spacing w:before="40" w:after="40"/>
              <w:rPr>
                <w:sz w:val="22"/>
                <w:szCs w:val="22"/>
              </w:rPr>
            </w:pPr>
          </w:p>
          <w:p w:rsidR="004E0C53" w:rsidRDefault="004E0C53">
            <w:pPr>
              <w:spacing w:before="40" w:after="40"/>
              <w:rPr>
                <w:sz w:val="22"/>
                <w:szCs w:val="22"/>
              </w:rPr>
            </w:pPr>
          </w:p>
          <w:p w:rsidR="004E0C53" w:rsidRPr="004F4330" w:rsidRDefault="004E0C53">
            <w:pPr>
              <w:spacing w:before="40" w:after="40"/>
              <w:rPr>
                <w:sz w:val="22"/>
                <w:szCs w:val="22"/>
              </w:rPr>
            </w:pPr>
          </w:p>
        </w:tc>
      </w:tr>
    </w:tbl>
    <w:p w:rsidR="004E0C53" w:rsidRPr="004F4330" w:rsidRDefault="004E0C53">
      <w:pPr>
        <w:rPr>
          <w:sz w:val="22"/>
          <w:szCs w:val="22"/>
        </w:rPr>
      </w:pPr>
    </w:p>
    <w:p w:rsidR="004E0C53" w:rsidRPr="004F4330" w:rsidRDefault="004E0C53" w:rsidP="00AA6262">
      <w:pPr>
        <w:keepNext/>
        <w:keepLines/>
        <w:spacing w:after="120"/>
        <w:ind w:left="-284"/>
        <w:rPr>
          <w:b/>
          <w:bCs/>
          <w:sz w:val="22"/>
          <w:szCs w:val="22"/>
        </w:rPr>
      </w:pPr>
      <w:r w:rsidRPr="004F4330">
        <w:rPr>
          <w:b/>
          <w:bCs/>
          <w:sz w:val="22"/>
          <w:szCs w:val="22"/>
        </w:rPr>
        <w:t>Evaluation performed by:</w:t>
      </w: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5103"/>
      </w:tblGrid>
      <w:tr w:rsidR="004E0C53" w:rsidRPr="004F4330">
        <w:trPr>
          <w:trHeight w:val="275"/>
        </w:trPr>
        <w:tc>
          <w:tcPr>
            <w:tcW w:w="1242" w:type="dxa"/>
            <w:shd w:val="pct10" w:color="auto" w:fill="FFFFFF"/>
          </w:tcPr>
          <w:p w:rsidR="004E0C53" w:rsidRPr="004F4330" w:rsidRDefault="004E0C53" w:rsidP="00AA6262">
            <w:pPr>
              <w:keepNext/>
              <w:keepLines/>
              <w:spacing w:before="80" w:after="80"/>
              <w:rPr>
                <w:b/>
                <w:bCs/>
                <w:sz w:val="22"/>
                <w:szCs w:val="22"/>
              </w:rPr>
            </w:pPr>
            <w:r w:rsidRPr="004F4330">
              <w:rPr>
                <w:b/>
                <w:bCs/>
                <w:sz w:val="22"/>
                <w:szCs w:val="22"/>
              </w:rPr>
              <w:t>Name</w:t>
            </w:r>
          </w:p>
        </w:tc>
        <w:tc>
          <w:tcPr>
            <w:tcW w:w="5103" w:type="dxa"/>
          </w:tcPr>
          <w:p w:rsidR="004E0C53" w:rsidRPr="004F4330" w:rsidRDefault="004E0C53" w:rsidP="00AA6262">
            <w:pPr>
              <w:keepNext/>
              <w:keepLines/>
              <w:spacing w:before="80" w:after="80"/>
              <w:rPr>
                <w:sz w:val="22"/>
                <w:szCs w:val="22"/>
              </w:rPr>
            </w:pPr>
          </w:p>
        </w:tc>
      </w:tr>
      <w:tr w:rsidR="004E0C53" w:rsidRPr="004F4330">
        <w:tc>
          <w:tcPr>
            <w:tcW w:w="1242" w:type="dxa"/>
            <w:shd w:val="pct10" w:color="auto" w:fill="FFFFFF"/>
          </w:tcPr>
          <w:p w:rsidR="004E0C53" w:rsidRPr="004F4330" w:rsidRDefault="004E0C53" w:rsidP="00AA6262">
            <w:pPr>
              <w:keepNext/>
              <w:keepLines/>
              <w:spacing w:before="80" w:after="80"/>
              <w:rPr>
                <w:b/>
                <w:bCs/>
                <w:sz w:val="22"/>
                <w:szCs w:val="22"/>
              </w:rPr>
            </w:pPr>
            <w:r w:rsidRPr="004F4330">
              <w:rPr>
                <w:b/>
                <w:bCs/>
                <w:sz w:val="22"/>
                <w:szCs w:val="22"/>
              </w:rPr>
              <w:t>Signature</w:t>
            </w:r>
          </w:p>
        </w:tc>
        <w:tc>
          <w:tcPr>
            <w:tcW w:w="5103" w:type="dxa"/>
          </w:tcPr>
          <w:p w:rsidR="004E0C53" w:rsidRPr="004F4330" w:rsidRDefault="004E0C53" w:rsidP="00AA6262">
            <w:pPr>
              <w:keepNext/>
              <w:keepLines/>
              <w:spacing w:before="80" w:after="80"/>
              <w:rPr>
                <w:sz w:val="22"/>
                <w:szCs w:val="22"/>
              </w:rPr>
            </w:pPr>
          </w:p>
        </w:tc>
      </w:tr>
      <w:tr w:rsidR="004E0C53" w:rsidRPr="004F4330">
        <w:tc>
          <w:tcPr>
            <w:tcW w:w="1242" w:type="dxa"/>
            <w:shd w:val="pct10" w:color="auto" w:fill="FFFFFF"/>
          </w:tcPr>
          <w:p w:rsidR="004E0C53" w:rsidRPr="004F4330" w:rsidRDefault="004E0C53" w:rsidP="00AA6262">
            <w:pPr>
              <w:keepNext/>
              <w:keepLines/>
              <w:spacing w:before="80" w:after="80"/>
              <w:rPr>
                <w:b/>
                <w:bCs/>
                <w:sz w:val="22"/>
                <w:szCs w:val="22"/>
              </w:rPr>
            </w:pPr>
            <w:r w:rsidRPr="004F4330">
              <w:rPr>
                <w:b/>
                <w:bCs/>
                <w:sz w:val="22"/>
                <w:szCs w:val="22"/>
              </w:rPr>
              <w:t>Date</w:t>
            </w:r>
          </w:p>
        </w:tc>
        <w:tc>
          <w:tcPr>
            <w:tcW w:w="5103" w:type="dxa"/>
          </w:tcPr>
          <w:p w:rsidR="004E0C53" w:rsidRPr="004F4330" w:rsidRDefault="004E0C53" w:rsidP="00AA6262">
            <w:pPr>
              <w:keepNext/>
              <w:keepLines/>
              <w:spacing w:before="80" w:after="80"/>
              <w:rPr>
                <w:sz w:val="22"/>
                <w:szCs w:val="22"/>
              </w:rPr>
            </w:pPr>
          </w:p>
        </w:tc>
      </w:tr>
    </w:tbl>
    <w:p w:rsidR="004E0C53" w:rsidRDefault="004E0C53" w:rsidP="00AA6262">
      <w:pPr>
        <w:spacing w:before="960" w:after="240"/>
        <w:jc w:val="center"/>
        <w:rPr>
          <w:b/>
          <w:bCs/>
          <w:sz w:val="28"/>
          <w:szCs w:val="28"/>
        </w:rPr>
      </w:pPr>
    </w:p>
    <w:p w:rsidR="004E0C53" w:rsidRPr="004F4330" w:rsidRDefault="004E0C53" w:rsidP="00AA6262">
      <w:pPr>
        <w:pageBreakBefore/>
        <w:spacing w:before="600" w:after="240"/>
        <w:jc w:val="center"/>
        <w:rPr>
          <w:b/>
          <w:bCs/>
          <w:sz w:val="28"/>
          <w:szCs w:val="28"/>
        </w:rPr>
      </w:pPr>
      <w:r w:rsidRPr="004F4330">
        <w:rPr>
          <w:b/>
          <w:bCs/>
          <w:sz w:val="28"/>
          <w:szCs w:val="28"/>
        </w:rPr>
        <w:t xml:space="preserve">INSTRUCTIONS </w:t>
      </w:r>
      <w:r>
        <w:rPr>
          <w:b/>
          <w:bCs/>
          <w:sz w:val="28"/>
          <w:szCs w:val="28"/>
        </w:rPr>
        <w:t xml:space="preserve">AND GUIDELINES </w:t>
      </w:r>
      <w:r w:rsidRPr="004F4330">
        <w:rPr>
          <w:b/>
          <w:bCs/>
          <w:sz w:val="28"/>
          <w:szCs w:val="28"/>
        </w:rPr>
        <w:t>TO EVALUATORS</w:t>
      </w:r>
      <w:r>
        <w:rPr>
          <w:b/>
          <w:bCs/>
          <w:sz w:val="28"/>
          <w:szCs w:val="28"/>
        </w:rPr>
        <w:t xml:space="preserve"> FOR A GLOBAL PRICE CONTRACT</w:t>
      </w:r>
    </w:p>
    <w:p w:rsidR="004E0C53" w:rsidRDefault="004E0C53" w:rsidP="00AA6262">
      <w:pPr>
        <w:jc w:val="both"/>
        <w:rPr>
          <w:sz w:val="22"/>
          <w:szCs w:val="22"/>
        </w:rPr>
      </w:pPr>
      <w:r w:rsidRPr="004F4330">
        <w:rPr>
          <w:sz w:val="22"/>
          <w:szCs w:val="22"/>
        </w:rPr>
        <w:t>Each evaluator must make an initial assessment of the technical offers and award scores on each sub-criterion according to his/her assessment.</w:t>
      </w:r>
    </w:p>
    <w:p w:rsidR="004E0C53" w:rsidRDefault="004E0C53" w:rsidP="00AA6262">
      <w:pPr>
        <w:jc w:val="both"/>
        <w:rPr>
          <w:sz w:val="22"/>
          <w:szCs w:val="22"/>
        </w:rPr>
      </w:pPr>
    </w:p>
    <w:p w:rsidR="004E0C53" w:rsidRDefault="004E0C53" w:rsidP="00AA6262">
      <w:pPr>
        <w:jc w:val="both"/>
        <w:rPr>
          <w:sz w:val="22"/>
          <w:szCs w:val="22"/>
        </w:rPr>
      </w:pPr>
      <w:r w:rsidRPr="003841DD">
        <w:rPr>
          <w:sz w:val="22"/>
          <w:szCs w:val="22"/>
        </w:rPr>
        <w:t>To this end, all evaluators should independently from each other carry out the evaluation of the technical offers in a consistent manner by applying the same methodology, interpretation and understanding. This does not necessarily mean that the scores of two different evaluators are expected to be identical, but rather that each evaluator applies the same standards and provides a well substantiated opinion supporting his/her individual scores.</w:t>
      </w:r>
      <w:r>
        <w:rPr>
          <w:sz w:val="22"/>
          <w:szCs w:val="22"/>
        </w:rPr>
        <w:t xml:space="preserve"> To their assistance the guidelines below should be used.</w:t>
      </w:r>
    </w:p>
    <w:p w:rsidR="004E0C53" w:rsidRPr="004F4330" w:rsidRDefault="004E0C53" w:rsidP="00AA6262">
      <w:pPr>
        <w:jc w:val="both"/>
        <w:rPr>
          <w:sz w:val="22"/>
          <w:szCs w:val="22"/>
        </w:rPr>
      </w:pPr>
    </w:p>
    <w:p w:rsidR="004E0C53" w:rsidRPr="004F4330" w:rsidRDefault="004E0C53" w:rsidP="00AA6262">
      <w:pPr>
        <w:spacing w:after="120"/>
        <w:jc w:val="both"/>
        <w:rPr>
          <w:sz w:val="22"/>
          <w:szCs w:val="22"/>
        </w:rPr>
      </w:pPr>
      <w:r w:rsidRPr="004F4330">
        <w:rPr>
          <w:sz w:val="22"/>
          <w:szCs w:val="22"/>
        </w:rPr>
        <w:t xml:space="preserve">Each evaluator should be able to justify his/her assessment and scores in a meeting of the </w:t>
      </w:r>
      <w:r>
        <w:rPr>
          <w:sz w:val="22"/>
          <w:szCs w:val="22"/>
        </w:rPr>
        <w:t>e</w:t>
      </w:r>
      <w:r w:rsidRPr="004F4330">
        <w:rPr>
          <w:sz w:val="22"/>
          <w:szCs w:val="22"/>
        </w:rPr>
        <w:t xml:space="preserve">valuation </w:t>
      </w:r>
      <w:r>
        <w:rPr>
          <w:sz w:val="22"/>
          <w:szCs w:val="22"/>
        </w:rPr>
        <w:t>c</w:t>
      </w:r>
      <w:r w:rsidRPr="004F4330">
        <w:rPr>
          <w:sz w:val="22"/>
          <w:szCs w:val="22"/>
        </w:rPr>
        <w:t>ommittee. The justifications must relate to the description of the project needs in the terms of reference. Evaluators must therefore make comments in the strengths and weaknesses boxes.</w:t>
      </w:r>
    </w:p>
    <w:p w:rsidR="004E0C53" w:rsidRPr="004F4330" w:rsidRDefault="004E0C53" w:rsidP="00AA6262">
      <w:pPr>
        <w:spacing w:after="120"/>
        <w:jc w:val="both"/>
        <w:rPr>
          <w:sz w:val="22"/>
          <w:szCs w:val="22"/>
        </w:rPr>
      </w:pPr>
      <w:r w:rsidRPr="004F4330">
        <w:rPr>
          <w:sz w:val="22"/>
          <w:szCs w:val="22"/>
        </w:rPr>
        <w:t>The assessments made will be discussed in the evaluation meeting(s) and each evaluator may make adjustments to the initial assessments after this discussion.</w:t>
      </w:r>
    </w:p>
    <w:p w:rsidR="004E0C53" w:rsidRPr="00F50969" w:rsidRDefault="004E0C53" w:rsidP="00AA6262">
      <w:pPr>
        <w:rPr>
          <w:sz w:val="22"/>
          <w:szCs w:val="22"/>
        </w:rPr>
      </w:pPr>
    </w:p>
    <w:p w:rsidR="004E0C53" w:rsidRPr="00B05065" w:rsidRDefault="004E0C53" w:rsidP="00AA6262">
      <w:pPr>
        <w:rPr>
          <w:b/>
          <w:bCs/>
          <w:sz w:val="22"/>
          <w:szCs w:val="22"/>
        </w:rPr>
      </w:pPr>
      <w:r w:rsidRPr="00B05065">
        <w:rPr>
          <w:b/>
          <w:bCs/>
          <w:sz w:val="22"/>
          <w:szCs w:val="22"/>
        </w:rPr>
        <w:t>Evaluation of the involvement of all members of the consortium:</w:t>
      </w:r>
    </w:p>
    <w:p w:rsidR="004E0C53" w:rsidRDefault="004E0C53" w:rsidP="00AA6262">
      <w:pPr>
        <w:rPr>
          <w:sz w:val="22"/>
          <w:szCs w:val="22"/>
        </w:rPr>
      </w:pPr>
    </w:p>
    <w:p w:rsidR="004E0C53" w:rsidRDefault="004E0C53" w:rsidP="000B14C7">
      <w:pPr>
        <w:jc w:val="both"/>
        <w:rPr>
          <w:sz w:val="22"/>
          <w:szCs w:val="22"/>
        </w:rPr>
      </w:pPr>
      <w:r>
        <w:rPr>
          <w:sz w:val="22"/>
          <w:szCs w:val="22"/>
        </w:rPr>
        <w:t>The tender shall include a description of the input from each member of the consortium and the distribution and interaction of tasks and responsibilities between them. If a tender is made by an individual company and not by a consortium, the maximum points should be allocated to ‘involvement of the consortium’.</w:t>
      </w:r>
    </w:p>
    <w:p w:rsidR="004E0C53" w:rsidRDefault="004E0C53" w:rsidP="00AA6262">
      <w:pPr>
        <w:rPr>
          <w:sz w:val="22"/>
          <w:szCs w:val="22"/>
        </w:rPr>
      </w:pPr>
    </w:p>
    <w:p w:rsidR="004E0C53" w:rsidRDefault="004E0C53" w:rsidP="00AA6262">
      <w:pPr>
        <w:rPr>
          <w:b/>
          <w:bCs/>
          <w:sz w:val="22"/>
          <w:szCs w:val="22"/>
        </w:rPr>
      </w:pPr>
      <w:r w:rsidRPr="00B05065">
        <w:rPr>
          <w:b/>
          <w:bCs/>
          <w:sz w:val="22"/>
          <w:szCs w:val="22"/>
        </w:rPr>
        <w:t xml:space="preserve">Evaluation of the </w:t>
      </w:r>
      <w:r>
        <w:rPr>
          <w:b/>
          <w:bCs/>
          <w:sz w:val="22"/>
          <w:szCs w:val="22"/>
        </w:rPr>
        <w:t>back-up function</w:t>
      </w:r>
      <w:r w:rsidRPr="00B05065">
        <w:rPr>
          <w:b/>
          <w:bCs/>
          <w:sz w:val="22"/>
          <w:szCs w:val="22"/>
        </w:rPr>
        <w:t>:</w:t>
      </w:r>
    </w:p>
    <w:p w:rsidR="004E0C53" w:rsidRDefault="004E0C53" w:rsidP="00F65FBA">
      <w:pPr>
        <w:rPr>
          <w:sz w:val="22"/>
          <w:szCs w:val="22"/>
        </w:rPr>
      </w:pPr>
    </w:p>
    <w:p w:rsidR="004E0C53" w:rsidRDefault="004E0C53" w:rsidP="000B14C7">
      <w:pPr>
        <w:jc w:val="both"/>
        <w:rPr>
          <w:sz w:val="22"/>
          <w:szCs w:val="22"/>
        </w:rPr>
      </w:pPr>
      <w:r w:rsidRPr="008F3FB3">
        <w:rPr>
          <w:sz w:val="22"/>
          <w:szCs w:val="22"/>
        </w:rPr>
        <w:t xml:space="preserve">The tenderer shall give a description of the support facilities </w:t>
      </w:r>
      <w:r>
        <w:rPr>
          <w:sz w:val="22"/>
          <w:szCs w:val="22"/>
        </w:rPr>
        <w:t xml:space="preserve">(back-stopping) </w:t>
      </w:r>
      <w:r w:rsidRPr="008F3FB3">
        <w:rPr>
          <w:sz w:val="22"/>
          <w:szCs w:val="22"/>
        </w:rPr>
        <w:t xml:space="preserve">that they will provide to their team of experts during the implementation of the contract.  The </w:t>
      </w:r>
      <w:r>
        <w:rPr>
          <w:sz w:val="22"/>
          <w:szCs w:val="22"/>
        </w:rPr>
        <w:t xml:space="preserve">description of the </w:t>
      </w:r>
      <w:r w:rsidRPr="008F3FB3">
        <w:rPr>
          <w:sz w:val="22"/>
          <w:szCs w:val="22"/>
        </w:rPr>
        <w:t xml:space="preserve">back-up function should </w:t>
      </w:r>
      <w:r w:rsidRPr="006D0A06">
        <w:rPr>
          <w:sz w:val="22"/>
          <w:szCs w:val="22"/>
        </w:rPr>
        <w:t>includ</w:t>
      </w:r>
      <w:r>
        <w:rPr>
          <w:sz w:val="22"/>
          <w:szCs w:val="22"/>
        </w:rPr>
        <w:t xml:space="preserve">ea </w:t>
      </w:r>
      <w:r w:rsidRPr="008F3FB3">
        <w:rPr>
          <w:sz w:val="22"/>
          <w:szCs w:val="22"/>
        </w:rPr>
        <w:t xml:space="preserve">list of staff, units, </w:t>
      </w:r>
      <w:r>
        <w:rPr>
          <w:sz w:val="22"/>
          <w:szCs w:val="22"/>
        </w:rPr>
        <w:t>capacity of permanent staff regularly intervening as experts on similar projects, provision of expertise in the region/country of origin as well as partner countries, organisational structure, etc. which are supposed to ensure that function, as well as the available quality systems and knowledge capitalisation methods and tools, within the respective members of the consortium</w:t>
      </w:r>
    </w:p>
    <w:p w:rsidR="004E0C53" w:rsidRDefault="004E0C53" w:rsidP="000B14C7">
      <w:pPr>
        <w:jc w:val="both"/>
        <w:rPr>
          <w:sz w:val="22"/>
          <w:szCs w:val="22"/>
        </w:rPr>
      </w:pPr>
    </w:p>
    <w:p w:rsidR="004E0C53" w:rsidRDefault="004E0C53" w:rsidP="000B14C7">
      <w:pPr>
        <w:jc w:val="both"/>
        <w:rPr>
          <w:sz w:val="22"/>
          <w:szCs w:val="22"/>
        </w:rPr>
      </w:pPr>
      <w:r>
        <w:rPr>
          <w:sz w:val="22"/>
          <w:szCs w:val="22"/>
        </w:rPr>
        <w:t xml:space="preserve">A permanent capacity of staff regularly intervening as experts on similar projects should be considered as an advantage for providing support to experts on the ground. By contrast, a service contractor which is exclusively employing free-lance experts (i.e. non-permanent) should be considered to have a less robust backstopping capacity.  </w:t>
      </w:r>
    </w:p>
    <w:p w:rsidR="004E0C53" w:rsidRDefault="004E0C53" w:rsidP="000B14C7">
      <w:pPr>
        <w:jc w:val="both"/>
        <w:rPr>
          <w:sz w:val="22"/>
          <w:szCs w:val="22"/>
        </w:rPr>
      </w:pPr>
    </w:p>
    <w:p w:rsidR="004E0C53" w:rsidRDefault="004E0C53" w:rsidP="000B14C7">
      <w:pPr>
        <w:jc w:val="both"/>
        <w:rPr>
          <w:sz w:val="22"/>
          <w:szCs w:val="22"/>
        </w:rPr>
      </w:pPr>
      <w:r>
        <w:rPr>
          <w:sz w:val="22"/>
          <w:szCs w:val="22"/>
        </w:rPr>
        <w:t xml:space="preserve">If the tenderer is providing expertise in its region/country of origin as well as in partner countries it may be considered as an ability to disseminate innovation. </w:t>
      </w:r>
    </w:p>
    <w:p w:rsidR="004E0C53" w:rsidRDefault="004E0C53" w:rsidP="000B14C7">
      <w:pPr>
        <w:jc w:val="both"/>
        <w:rPr>
          <w:sz w:val="22"/>
          <w:szCs w:val="22"/>
        </w:rPr>
      </w:pPr>
    </w:p>
    <w:p w:rsidR="004E0C53" w:rsidRPr="00C032D4" w:rsidRDefault="004E0C53" w:rsidP="000B14C7">
      <w:pPr>
        <w:jc w:val="both"/>
        <w:rPr>
          <w:sz w:val="22"/>
          <w:szCs w:val="22"/>
        </w:rPr>
      </w:pPr>
      <w:r>
        <w:rPr>
          <w:sz w:val="22"/>
          <w:szCs w:val="22"/>
        </w:rPr>
        <w:t xml:space="preserve">If the tenderer has design, research, laboratory or even innovation function, or whether it collaborates with academic research centre,  it may be considered an advantage. </w:t>
      </w:r>
    </w:p>
    <w:p w:rsidR="004E0C53" w:rsidRPr="00C032D4" w:rsidRDefault="004E0C53" w:rsidP="00F65FBA">
      <w:pPr>
        <w:rPr>
          <w:sz w:val="22"/>
          <w:szCs w:val="22"/>
        </w:rPr>
      </w:pPr>
    </w:p>
    <w:p w:rsidR="004E0C53" w:rsidRPr="00B05065" w:rsidRDefault="004E0C53" w:rsidP="00AA6262">
      <w:pPr>
        <w:rPr>
          <w:b/>
          <w:bCs/>
          <w:sz w:val="22"/>
          <w:szCs w:val="22"/>
        </w:rPr>
      </w:pPr>
      <w:r w:rsidRPr="00B05065">
        <w:rPr>
          <w:b/>
          <w:bCs/>
          <w:sz w:val="22"/>
          <w:szCs w:val="22"/>
        </w:rPr>
        <w:t>Evaluation of experts:</w:t>
      </w:r>
    </w:p>
    <w:p w:rsidR="004E0C53" w:rsidRDefault="004E0C53" w:rsidP="00E92817">
      <w:pPr>
        <w:spacing w:after="120"/>
        <w:jc w:val="both"/>
        <w:rPr>
          <w:sz w:val="22"/>
          <w:szCs w:val="22"/>
        </w:rPr>
      </w:pPr>
      <w:r>
        <w:rPr>
          <w:sz w:val="22"/>
          <w:szCs w:val="22"/>
        </w:rPr>
        <w:t xml:space="preserve">Even if exceptionally key experts are required there is no specific evaluation criterion for the key experts but the assessment is part of the strategy. The key experts shall generally not be </w:t>
      </w:r>
      <w:r w:rsidRPr="004F4330">
        <w:rPr>
          <w:sz w:val="22"/>
          <w:szCs w:val="22"/>
        </w:rPr>
        <w:t>interview</w:t>
      </w:r>
      <w:r>
        <w:rPr>
          <w:sz w:val="22"/>
          <w:szCs w:val="22"/>
        </w:rPr>
        <w:t>ed.</w:t>
      </w:r>
    </w:p>
    <w:p w:rsidR="004E0C53" w:rsidRPr="00993C2A" w:rsidRDefault="004E0C53" w:rsidP="00E92817">
      <w:pPr>
        <w:jc w:val="both"/>
        <w:rPr>
          <w:color w:val="000000"/>
          <w:sz w:val="22"/>
          <w:szCs w:val="22"/>
        </w:rPr>
      </w:pPr>
      <w:r w:rsidRPr="00993C2A">
        <w:rPr>
          <w:color w:val="000000"/>
          <w:sz w:val="22"/>
          <w:szCs w:val="22"/>
        </w:rPr>
        <w:t xml:space="preserve">Note that civil servants and other staff of the public administration of the partner country shall only be approved to work as experts if well justified. The justification should be submitted with the tender and shall include information on the added value the expert will bring, </w:t>
      </w:r>
      <w:r w:rsidRPr="00993C2A">
        <w:rPr>
          <w:color w:val="000000"/>
          <w:sz w:val="22"/>
          <w:szCs w:val="22"/>
          <w:u w:val="single"/>
        </w:rPr>
        <w:t>on any potential interference or conflict of interest of the proposed expert in his/her function as expert and his/her present or previous functions working as civil servant</w:t>
      </w:r>
      <w:r w:rsidRPr="00993C2A">
        <w:rPr>
          <w:color w:val="000000"/>
          <w:sz w:val="22"/>
          <w:szCs w:val="22"/>
        </w:rPr>
        <w:t xml:space="preserve"> as well as proof that the expert is detached or on personal leave.</w:t>
      </w:r>
    </w:p>
    <w:p w:rsidR="004E0C53" w:rsidRDefault="004E0C53" w:rsidP="00AA6262">
      <w:pPr>
        <w:rPr>
          <w:sz w:val="22"/>
          <w:szCs w:val="22"/>
        </w:rPr>
      </w:pPr>
    </w:p>
    <w:p w:rsidR="004E0C53" w:rsidRPr="00F50969" w:rsidRDefault="004E0C53" w:rsidP="00AA6262">
      <w:pPr>
        <w:rPr>
          <w:sz w:val="22"/>
          <w:szCs w:val="22"/>
        </w:rPr>
      </w:pPr>
      <w:r w:rsidRPr="00F50969">
        <w:rPr>
          <w:sz w:val="22"/>
          <w:szCs w:val="22"/>
        </w:rPr>
        <w:t xml:space="preserve">The summary table </w:t>
      </w:r>
      <w:r>
        <w:rPr>
          <w:sz w:val="22"/>
          <w:szCs w:val="22"/>
        </w:rPr>
        <w:t>below</w:t>
      </w:r>
      <w:r w:rsidRPr="00F50969">
        <w:rPr>
          <w:sz w:val="22"/>
          <w:szCs w:val="22"/>
        </w:rPr>
        <w:t xml:space="preserve"> should be understood as a guideline for the evaluator’s judgement on </w:t>
      </w:r>
      <w:r w:rsidRPr="00F50969">
        <w:rPr>
          <w:sz w:val="22"/>
          <w:szCs w:val="22"/>
          <w:u w:val="single"/>
        </w:rPr>
        <w:t>an individual line</w:t>
      </w:r>
      <w:r w:rsidRPr="00F50969">
        <w:rPr>
          <w:sz w:val="22"/>
          <w:szCs w:val="22"/>
        </w:rPr>
        <w:t xml:space="preserve"> of the evaluation grid.</w:t>
      </w:r>
    </w:p>
    <w:p w:rsidR="004E0C53" w:rsidRPr="00F50969" w:rsidRDefault="004E0C53" w:rsidP="00AA6262">
      <w:pPr>
        <w:rPr>
          <w:sz w:val="22"/>
          <w:szCs w:val="22"/>
        </w:rPr>
      </w:pPr>
    </w:p>
    <w:p w:rsidR="004E0C53" w:rsidRPr="004F4330" w:rsidRDefault="004E0C53" w:rsidP="00AA6262">
      <w:pPr>
        <w:spacing w:after="120"/>
        <w:jc w:val="both"/>
        <w:rPr>
          <w:sz w:val="22"/>
          <w:szCs w:val="22"/>
        </w:rPr>
      </w:pPr>
    </w:p>
    <w:p w:rsidR="004E0C53" w:rsidRDefault="004E0C53" w:rsidP="00AA6262">
      <w:pPr>
        <w:spacing w:after="120"/>
        <w:jc w:val="both"/>
        <w:rPr>
          <w:b/>
          <w:bCs/>
          <w:sz w:val="22"/>
          <w:szCs w:val="22"/>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9pt;margin-top:62.05pt;width:369.25pt;height:397.35pt;z-index:251658240" o:allowincell="f">
            <v:imagedata r:id="rId7" o:title=""/>
            <w10:wrap type="topAndBottom"/>
          </v:shape>
          <o:OLEObject Type="Embed" ProgID="Excel.Sheet.8" ShapeID="_x0000_s1026" DrawAspect="Content" ObjectID="_1636181879" r:id="rId8"/>
        </w:pict>
      </w:r>
      <w:r w:rsidRPr="004F4330">
        <w:rPr>
          <w:b/>
          <w:bCs/>
          <w:sz w:val="22"/>
          <w:szCs w:val="22"/>
        </w:rPr>
        <w:t xml:space="preserve">Note that only tenders with average scores of </w:t>
      </w:r>
      <w:r>
        <w:rPr>
          <w:b/>
          <w:bCs/>
          <w:sz w:val="22"/>
          <w:szCs w:val="22"/>
        </w:rPr>
        <w:t>75</w:t>
      </w:r>
      <w:r w:rsidRPr="004F4330">
        <w:rPr>
          <w:b/>
          <w:bCs/>
          <w:sz w:val="22"/>
          <w:szCs w:val="22"/>
        </w:rPr>
        <w:t xml:space="preserve">points </w:t>
      </w:r>
      <w:r>
        <w:rPr>
          <w:b/>
          <w:bCs/>
          <w:sz w:val="22"/>
          <w:szCs w:val="22"/>
        </w:rPr>
        <w:t xml:space="preserve">or more are considered technically acceptable and </w:t>
      </w:r>
      <w:r w:rsidRPr="004F4330">
        <w:rPr>
          <w:b/>
          <w:bCs/>
          <w:sz w:val="22"/>
          <w:szCs w:val="22"/>
        </w:rPr>
        <w:t>qualify for the financial evaluation.</w:t>
      </w:r>
    </w:p>
    <w:p w:rsidR="004E0C53" w:rsidRPr="005236AC" w:rsidRDefault="004E0C53" w:rsidP="003841DD">
      <w:pPr>
        <w:spacing w:after="120"/>
        <w:jc w:val="both"/>
        <w:rPr>
          <w:b/>
          <w:bCs/>
          <w:sz w:val="22"/>
          <w:szCs w:val="22"/>
        </w:rPr>
      </w:pPr>
    </w:p>
    <w:sectPr w:rsidR="004E0C53" w:rsidRPr="005236AC" w:rsidSect="00AA6262">
      <w:headerReference w:type="default" r:id="rId9"/>
      <w:footerReference w:type="default" r:id="rId10"/>
      <w:headerReference w:type="first" r:id="rId11"/>
      <w:footerReference w:type="first" r:id="rId12"/>
      <w:pgSz w:w="11907" w:h="16840" w:code="9"/>
      <w:pgMar w:top="1276" w:right="1797" w:bottom="992" w:left="1560" w:header="720" w:footer="47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C53" w:rsidRDefault="004E0C53">
      <w:r>
        <w:separator/>
      </w:r>
    </w:p>
  </w:endnote>
  <w:endnote w:type="continuationSeparator" w:id="1">
    <w:p w:rsidR="004E0C53" w:rsidRDefault="004E0C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53" w:rsidRPr="00545845" w:rsidRDefault="004E0C53" w:rsidP="007B245B">
    <w:pPr>
      <w:pStyle w:val="Footer"/>
      <w:tabs>
        <w:tab w:val="clear" w:pos="4153"/>
      </w:tabs>
      <w:spacing w:before="120"/>
      <w:ind w:left="-284"/>
      <w:rPr>
        <w:rStyle w:val="PageNumber"/>
        <w:sz w:val="18"/>
        <w:szCs w:val="18"/>
      </w:rPr>
    </w:pPr>
    <w:r>
      <w:rPr>
        <w:b/>
        <w:bCs/>
        <w:snapToGrid w:val="0"/>
        <w:sz w:val="18"/>
        <w:szCs w:val="18"/>
      </w:rPr>
      <w:t>July 2019</w:t>
    </w:r>
    <w:bookmarkStart w:id="0" w:name="_GoBack"/>
    <w:bookmarkEnd w:id="0"/>
  </w:p>
  <w:p w:rsidR="004E0C53" w:rsidRPr="006B2E42" w:rsidRDefault="004E0C53" w:rsidP="00F97D97">
    <w:pPr>
      <w:pStyle w:val="Footer"/>
      <w:tabs>
        <w:tab w:val="clear" w:pos="4153"/>
        <w:tab w:val="clear" w:pos="8306"/>
        <w:tab w:val="right" w:pos="8505"/>
      </w:tabs>
      <w:ind w:left="-284"/>
      <w:rPr>
        <w:sz w:val="18"/>
        <w:szCs w:val="18"/>
      </w:rPr>
    </w:pPr>
    <w:r w:rsidRPr="002258CC">
      <w:rPr>
        <w:sz w:val="18"/>
        <w:szCs w:val="18"/>
      </w:rPr>
      <w:fldChar w:fldCharType="begin"/>
    </w:r>
    <w:r w:rsidRPr="002258CC">
      <w:rPr>
        <w:sz w:val="18"/>
        <w:szCs w:val="18"/>
      </w:rPr>
      <w:instrText xml:space="preserve"> FILENAME </w:instrText>
    </w:r>
    <w:r w:rsidRPr="002258CC">
      <w:rPr>
        <w:sz w:val="18"/>
        <w:szCs w:val="18"/>
      </w:rPr>
      <w:fldChar w:fldCharType="separate"/>
    </w:r>
    <w:r>
      <w:rPr>
        <w:noProof/>
        <w:sz w:val="18"/>
        <w:szCs w:val="18"/>
      </w:rPr>
      <w:t>b12b_evaluatorsgrid_global_en.doc</w:t>
    </w:r>
    <w:r w:rsidRPr="002258CC">
      <w:rPr>
        <w:sz w:val="18"/>
        <w:szCs w:val="18"/>
      </w:rPr>
      <w:fldChar w:fldCharType="end"/>
    </w:r>
    <w:r>
      <w:rPr>
        <w:sz w:val="18"/>
        <w:szCs w:val="18"/>
      </w:rPr>
      <w:tab/>
    </w:r>
    <w:r w:rsidRPr="00545845">
      <w:rPr>
        <w:sz w:val="18"/>
        <w:szCs w:val="18"/>
      </w:rPr>
      <w:t xml:space="preserve">Page </w:t>
    </w:r>
    <w:r w:rsidRPr="00545845">
      <w:rPr>
        <w:rStyle w:val="PageNumber"/>
        <w:sz w:val="18"/>
        <w:szCs w:val="18"/>
      </w:rPr>
      <w:fldChar w:fldCharType="begin"/>
    </w:r>
    <w:r w:rsidRPr="00545845">
      <w:rPr>
        <w:rStyle w:val="PageNumber"/>
        <w:sz w:val="18"/>
        <w:szCs w:val="18"/>
      </w:rPr>
      <w:instrText xml:space="preserve"> PAGE </w:instrText>
    </w:r>
    <w:r w:rsidRPr="00545845">
      <w:rPr>
        <w:rStyle w:val="PageNumber"/>
        <w:sz w:val="18"/>
        <w:szCs w:val="18"/>
      </w:rPr>
      <w:fldChar w:fldCharType="separate"/>
    </w:r>
    <w:r>
      <w:rPr>
        <w:rStyle w:val="PageNumber"/>
        <w:noProof/>
        <w:sz w:val="18"/>
        <w:szCs w:val="18"/>
      </w:rPr>
      <w:t>3</w:t>
    </w:r>
    <w:r w:rsidRPr="00545845">
      <w:rPr>
        <w:rStyle w:val="PageNumber"/>
        <w:sz w:val="18"/>
        <w:szCs w:val="18"/>
      </w:rPr>
      <w:fldChar w:fldCharType="end"/>
    </w:r>
    <w:r w:rsidRPr="00545845">
      <w:rPr>
        <w:rStyle w:val="PageNumber"/>
        <w:sz w:val="18"/>
        <w:szCs w:val="18"/>
      </w:rPr>
      <w:t xml:space="preserve">of </w:t>
    </w:r>
    <w:r w:rsidRPr="00545845">
      <w:rPr>
        <w:rStyle w:val="PageNumber"/>
        <w:sz w:val="18"/>
        <w:szCs w:val="18"/>
      </w:rPr>
      <w:fldChar w:fldCharType="begin"/>
    </w:r>
    <w:r w:rsidRPr="00545845">
      <w:rPr>
        <w:rStyle w:val="PageNumber"/>
        <w:sz w:val="18"/>
        <w:szCs w:val="18"/>
      </w:rPr>
      <w:instrText xml:space="preserve"> NUMPAGES </w:instrText>
    </w:r>
    <w:r w:rsidRPr="00545845">
      <w:rPr>
        <w:rStyle w:val="PageNumber"/>
        <w:sz w:val="18"/>
        <w:szCs w:val="18"/>
      </w:rPr>
      <w:fldChar w:fldCharType="separate"/>
    </w:r>
    <w:r>
      <w:rPr>
        <w:rStyle w:val="PageNumber"/>
        <w:noProof/>
        <w:sz w:val="18"/>
        <w:szCs w:val="18"/>
      </w:rPr>
      <w:t>3</w:t>
    </w:r>
    <w:r w:rsidRPr="00545845">
      <w:rPr>
        <w:rStyle w:val="PageNumbe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53" w:rsidRPr="00545845" w:rsidRDefault="004E0C53" w:rsidP="00F97D97">
    <w:pPr>
      <w:pStyle w:val="Footer"/>
      <w:tabs>
        <w:tab w:val="clear" w:pos="4153"/>
        <w:tab w:val="clear" w:pos="8306"/>
        <w:tab w:val="right" w:pos="8505"/>
      </w:tabs>
      <w:ind w:left="-284"/>
      <w:rPr>
        <w:rStyle w:val="PageNumber"/>
        <w:sz w:val="18"/>
        <w:szCs w:val="18"/>
      </w:rPr>
    </w:pPr>
    <w:r>
      <w:rPr>
        <w:b/>
        <w:bCs/>
        <w:snapToGrid w:val="0"/>
        <w:sz w:val="18"/>
        <w:szCs w:val="18"/>
      </w:rPr>
      <w:t>July 2019</w:t>
    </w:r>
  </w:p>
  <w:p w:rsidR="004E0C53" w:rsidRPr="00545845" w:rsidRDefault="004E0C53" w:rsidP="00F97D97">
    <w:pPr>
      <w:pStyle w:val="Footer"/>
      <w:tabs>
        <w:tab w:val="clear" w:pos="4153"/>
        <w:tab w:val="clear" w:pos="8306"/>
        <w:tab w:val="right" w:pos="8505"/>
      </w:tabs>
      <w:ind w:left="-284"/>
      <w:rPr>
        <w:sz w:val="18"/>
        <w:szCs w:val="18"/>
      </w:rPr>
    </w:pPr>
    <w:r w:rsidRPr="002258CC">
      <w:rPr>
        <w:sz w:val="18"/>
        <w:szCs w:val="18"/>
      </w:rPr>
      <w:fldChar w:fldCharType="begin"/>
    </w:r>
    <w:r w:rsidRPr="002258CC">
      <w:rPr>
        <w:sz w:val="18"/>
        <w:szCs w:val="18"/>
      </w:rPr>
      <w:instrText xml:space="preserve"> FILENAME </w:instrText>
    </w:r>
    <w:r w:rsidRPr="002258CC">
      <w:rPr>
        <w:sz w:val="18"/>
        <w:szCs w:val="18"/>
      </w:rPr>
      <w:fldChar w:fldCharType="separate"/>
    </w:r>
    <w:r>
      <w:rPr>
        <w:noProof/>
        <w:sz w:val="18"/>
        <w:szCs w:val="18"/>
      </w:rPr>
      <w:t>b12b_evaluatorsgrid_global_en.doc</w:t>
    </w:r>
    <w:r w:rsidRPr="002258CC">
      <w:rPr>
        <w:sz w:val="18"/>
        <w:szCs w:val="18"/>
      </w:rPr>
      <w:fldChar w:fldCharType="end"/>
    </w:r>
    <w:r>
      <w:rPr>
        <w:sz w:val="18"/>
        <w:szCs w:val="18"/>
      </w:rPr>
      <w:tab/>
    </w:r>
    <w:r w:rsidRPr="00545845">
      <w:rPr>
        <w:sz w:val="18"/>
        <w:szCs w:val="18"/>
      </w:rPr>
      <w:t xml:space="preserve">Page </w:t>
    </w:r>
    <w:r w:rsidRPr="00545845">
      <w:rPr>
        <w:rStyle w:val="PageNumber"/>
        <w:sz w:val="18"/>
        <w:szCs w:val="18"/>
      </w:rPr>
      <w:fldChar w:fldCharType="begin"/>
    </w:r>
    <w:r w:rsidRPr="00545845">
      <w:rPr>
        <w:rStyle w:val="PageNumber"/>
        <w:sz w:val="18"/>
        <w:szCs w:val="18"/>
      </w:rPr>
      <w:instrText xml:space="preserve"> PAGE </w:instrText>
    </w:r>
    <w:r w:rsidRPr="00545845">
      <w:rPr>
        <w:rStyle w:val="PageNumber"/>
        <w:sz w:val="18"/>
        <w:szCs w:val="18"/>
      </w:rPr>
      <w:fldChar w:fldCharType="separate"/>
    </w:r>
    <w:r>
      <w:rPr>
        <w:rStyle w:val="PageNumber"/>
        <w:noProof/>
        <w:sz w:val="18"/>
        <w:szCs w:val="18"/>
      </w:rPr>
      <w:t>1</w:t>
    </w:r>
    <w:r w:rsidRPr="00545845">
      <w:rPr>
        <w:rStyle w:val="PageNumber"/>
        <w:sz w:val="18"/>
        <w:szCs w:val="18"/>
      </w:rPr>
      <w:fldChar w:fldCharType="end"/>
    </w:r>
    <w:r w:rsidRPr="00545845">
      <w:rPr>
        <w:rStyle w:val="PageNumber"/>
        <w:sz w:val="18"/>
        <w:szCs w:val="18"/>
      </w:rPr>
      <w:t xml:space="preserve">of </w:t>
    </w:r>
    <w:r w:rsidRPr="00545845">
      <w:rPr>
        <w:rStyle w:val="PageNumber"/>
        <w:sz w:val="18"/>
        <w:szCs w:val="18"/>
      </w:rPr>
      <w:fldChar w:fldCharType="begin"/>
    </w:r>
    <w:r w:rsidRPr="00545845">
      <w:rPr>
        <w:rStyle w:val="PageNumber"/>
        <w:sz w:val="18"/>
        <w:szCs w:val="18"/>
      </w:rPr>
      <w:instrText xml:space="preserve"> NUMPAGES </w:instrText>
    </w:r>
    <w:r w:rsidRPr="00545845">
      <w:rPr>
        <w:rStyle w:val="PageNumber"/>
        <w:sz w:val="18"/>
        <w:szCs w:val="18"/>
      </w:rPr>
      <w:fldChar w:fldCharType="separate"/>
    </w:r>
    <w:r>
      <w:rPr>
        <w:rStyle w:val="PageNumber"/>
        <w:noProof/>
        <w:sz w:val="18"/>
        <w:szCs w:val="18"/>
      </w:rPr>
      <w:t>3</w:t>
    </w:r>
    <w:r w:rsidRPr="00545845">
      <w:rPr>
        <w:rStyle w:val="PageNumbe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C53" w:rsidRDefault="004E0C53">
      <w:r>
        <w:separator/>
      </w:r>
    </w:p>
  </w:footnote>
  <w:footnote w:type="continuationSeparator" w:id="1">
    <w:p w:rsidR="004E0C53" w:rsidRDefault="004E0C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53" w:rsidRDefault="004E0C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53" w:rsidRPr="004F4330" w:rsidRDefault="004E0C53">
    <w:pPr>
      <w:pStyle w:val="Header"/>
      <w:jc w:val="center"/>
      <w:rPr>
        <w:sz w:val="20"/>
        <w:szCs w:val="20"/>
      </w:rPr>
    </w:pPr>
    <w:r w:rsidRPr="004F4330">
      <w:rPr>
        <w:sz w:val="20"/>
        <w:szCs w:val="20"/>
      </w:rPr>
      <w:t>The maximum scores must correspond to the evaluation grid included in the tender dossier</w:t>
    </w:r>
  </w:p>
  <w:p w:rsidR="004E0C53" w:rsidRPr="004F4330" w:rsidRDefault="004E0C53">
    <w:pPr>
      <w:pStyle w:val="Header"/>
      <w:jc w:val="center"/>
      <w:rPr>
        <w:sz w:val="16"/>
        <w:szCs w:val="16"/>
      </w:rPr>
    </w:pPr>
  </w:p>
  <w:p w:rsidR="004E0C53" w:rsidRPr="004F4330" w:rsidRDefault="004E0C53">
    <w:pPr>
      <w:pStyle w:val="Header"/>
      <w:jc w:val="center"/>
      <w:rPr>
        <w:b/>
        <w:bCs/>
        <w:sz w:val="28"/>
        <w:szCs w:val="28"/>
      </w:rPr>
    </w:pPr>
    <w:r w:rsidRPr="004F4330">
      <w:rPr>
        <w:b/>
        <w:bCs/>
        <w:sz w:val="28"/>
        <w:szCs w:val="28"/>
      </w:rPr>
      <w:t>EVALUAT</w:t>
    </w:r>
    <w:r>
      <w:rPr>
        <w:b/>
        <w:bCs/>
        <w:sz w:val="28"/>
        <w:szCs w:val="28"/>
      </w:rPr>
      <w:t xml:space="preserve">OR'S </w:t>
    </w:r>
    <w:r w:rsidRPr="004F4330">
      <w:rPr>
        <w:b/>
        <w:bCs/>
        <w:sz w:val="28"/>
        <w:szCs w:val="28"/>
      </w:rPr>
      <w:t>GRID</w:t>
    </w:r>
  </w:p>
  <w:p w:rsidR="004E0C53" w:rsidRPr="004F4330" w:rsidRDefault="004E0C53">
    <w:pPr>
      <w:pStyle w:val="Header"/>
      <w:jc w:val="center"/>
    </w:pPr>
    <w:r w:rsidRPr="004F4330">
      <w:rPr>
        <w:sz w:val="20"/>
        <w:szCs w:val="20"/>
      </w:rPr>
      <w:t>To be completed for each tender by each evaluator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28EB6E8"/>
    <w:lvl w:ilvl="0">
      <w:start w:val="1"/>
      <w:numFmt w:val="bullet"/>
      <w:lvlText w:val=""/>
      <w:lvlJc w:val="left"/>
      <w:pPr>
        <w:tabs>
          <w:tab w:val="num" w:pos="360"/>
        </w:tabs>
        <w:ind w:left="360" w:hanging="360"/>
      </w:pPr>
      <w:rPr>
        <w:rFonts w:ascii="Symbol" w:hAnsi="Symbol" w:cs="Symbol" w:hint="default"/>
      </w:rPr>
    </w:lvl>
  </w:abstractNum>
  <w:abstractNum w:abstractNumId="1">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num w:numId="1">
    <w:abstractNumId w:val="0"/>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intFractionalCharacterWidth/>
  <w:embedSystemFonts/>
  <w:defaultTabStop w:val="720"/>
  <w:hyphenationZone w:val="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463F40"/>
    <w:rsid w:val="00053571"/>
    <w:rsid w:val="000706AC"/>
    <w:rsid w:val="00077052"/>
    <w:rsid w:val="000B14C7"/>
    <w:rsid w:val="000B35E9"/>
    <w:rsid w:val="000C4AF0"/>
    <w:rsid w:val="00105E03"/>
    <w:rsid w:val="00123548"/>
    <w:rsid w:val="00145C3C"/>
    <w:rsid w:val="00170F6E"/>
    <w:rsid w:val="001813DA"/>
    <w:rsid w:val="001B457B"/>
    <w:rsid w:val="001B51D1"/>
    <w:rsid w:val="001D6A02"/>
    <w:rsid w:val="001E2CBF"/>
    <w:rsid w:val="002258CC"/>
    <w:rsid w:val="00283FC2"/>
    <w:rsid w:val="002846AA"/>
    <w:rsid w:val="002A3AA5"/>
    <w:rsid w:val="002B1BBC"/>
    <w:rsid w:val="002F40FE"/>
    <w:rsid w:val="00377AE6"/>
    <w:rsid w:val="00380A7F"/>
    <w:rsid w:val="003841DD"/>
    <w:rsid w:val="003B45BC"/>
    <w:rsid w:val="003C561B"/>
    <w:rsid w:val="003D2FE8"/>
    <w:rsid w:val="003E3FF6"/>
    <w:rsid w:val="004463E0"/>
    <w:rsid w:val="00460FA5"/>
    <w:rsid w:val="004616BE"/>
    <w:rsid w:val="00463F40"/>
    <w:rsid w:val="0046459C"/>
    <w:rsid w:val="004C0359"/>
    <w:rsid w:val="004E0C53"/>
    <w:rsid w:val="004F4330"/>
    <w:rsid w:val="0052198D"/>
    <w:rsid w:val="005236AC"/>
    <w:rsid w:val="0054409F"/>
    <w:rsid w:val="00545845"/>
    <w:rsid w:val="005544EF"/>
    <w:rsid w:val="0059290D"/>
    <w:rsid w:val="005953A6"/>
    <w:rsid w:val="00596BE0"/>
    <w:rsid w:val="005F39CA"/>
    <w:rsid w:val="005F7AE9"/>
    <w:rsid w:val="00600BD5"/>
    <w:rsid w:val="00603EDC"/>
    <w:rsid w:val="00605A20"/>
    <w:rsid w:val="00612E39"/>
    <w:rsid w:val="00613655"/>
    <w:rsid w:val="0062023F"/>
    <w:rsid w:val="006206D4"/>
    <w:rsid w:val="00643156"/>
    <w:rsid w:val="006559D4"/>
    <w:rsid w:val="0065679E"/>
    <w:rsid w:val="00656C51"/>
    <w:rsid w:val="00667FB8"/>
    <w:rsid w:val="006B1921"/>
    <w:rsid w:val="006B2E42"/>
    <w:rsid w:val="006C239F"/>
    <w:rsid w:val="006D0A06"/>
    <w:rsid w:val="006F1FDF"/>
    <w:rsid w:val="006F752B"/>
    <w:rsid w:val="00715444"/>
    <w:rsid w:val="007317AA"/>
    <w:rsid w:val="0073550F"/>
    <w:rsid w:val="0078617D"/>
    <w:rsid w:val="007B245B"/>
    <w:rsid w:val="007F6D80"/>
    <w:rsid w:val="008100E4"/>
    <w:rsid w:val="00834E57"/>
    <w:rsid w:val="00847D90"/>
    <w:rsid w:val="008758B8"/>
    <w:rsid w:val="008933FC"/>
    <w:rsid w:val="008A6E67"/>
    <w:rsid w:val="008F3FB3"/>
    <w:rsid w:val="009231BE"/>
    <w:rsid w:val="00927523"/>
    <w:rsid w:val="00961637"/>
    <w:rsid w:val="00971790"/>
    <w:rsid w:val="00993C2A"/>
    <w:rsid w:val="0099459C"/>
    <w:rsid w:val="009B4B14"/>
    <w:rsid w:val="009B67E0"/>
    <w:rsid w:val="009C4E78"/>
    <w:rsid w:val="009E033A"/>
    <w:rsid w:val="009E44A2"/>
    <w:rsid w:val="00A21BB7"/>
    <w:rsid w:val="00A25C6E"/>
    <w:rsid w:val="00A7621A"/>
    <w:rsid w:val="00A90A02"/>
    <w:rsid w:val="00AA6262"/>
    <w:rsid w:val="00AD5DB9"/>
    <w:rsid w:val="00B046D2"/>
    <w:rsid w:val="00B05065"/>
    <w:rsid w:val="00B0605A"/>
    <w:rsid w:val="00B1087A"/>
    <w:rsid w:val="00B21BE9"/>
    <w:rsid w:val="00B6371C"/>
    <w:rsid w:val="00B739EA"/>
    <w:rsid w:val="00B974D4"/>
    <w:rsid w:val="00BC025D"/>
    <w:rsid w:val="00BF2CB3"/>
    <w:rsid w:val="00C024CC"/>
    <w:rsid w:val="00C032D4"/>
    <w:rsid w:val="00C03664"/>
    <w:rsid w:val="00C22EAB"/>
    <w:rsid w:val="00C72913"/>
    <w:rsid w:val="00C76F07"/>
    <w:rsid w:val="00C80E57"/>
    <w:rsid w:val="00CA092C"/>
    <w:rsid w:val="00CA42DD"/>
    <w:rsid w:val="00CA45F1"/>
    <w:rsid w:val="00CC005A"/>
    <w:rsid w:val="00CC1665"/>
    <w:rsid w:val="00CC52A6"/>
    <w:rsid w:val="00CE0B89"/>
    <w:rsid w:val="00CF228E"/>
    <w:rsid w:val="00CF69FC"/>
    <w:rsid w:val="00D03EEC"/>
    <w:rsid w:val="00D2690D"/>
    <w:rsid w:val="00D37BF0"/>
    <w:rsid w:val="00D41CAF"/>
    <w:rsid w:val="00D72560"/>
    <w:rsid w:val="00D825C1"/>
    <w:rsid w:val="00D9230A"/>
    <w:rsid w:val="00D96E1A"/>
    <w:rsid w:val="00DA19EF"/>
    <w:rsid w:val="00DA3BAA"/>
    <w:rsid w:val="00DB2BB7"/>
    <w:rsid w:val="00DC2E44"/>
    <w:rsid w:val="00DE209D"/>
    <w:rsid w:val="00DF3B4B"/>
    <w:rsid w:val="00E74536"/>
    <w:rsid w:val="00E92817"/>
    <w:rsid w:val="00EB0BB5"/>
    <w:rsid w:val="00EC0410"/>
    <w:rsid w:val="00EE7D7B"/>
    <w:rsid w:val="00F117E2"/>
    <w:rsid w:val="00F24D98"/>
    <w:rsid w:val="00F50969"/>
    <w:rsid w:val="00F61F35"/>
    <w:rsid w:val="00F65FBA"/>
    <w:rsid w:val="00F8393D"/>
    <w:rsid w:val="00F97D97"/>
    <w:rsid w:val="00FF5A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790"/>
    <w:rPr>
      <w:rFonts w:ascii="Times New Roman" w:hAnsi="Times New Roman"/>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71790"/>
    <w:pPr>
      <w:tabs>
        <w:tab w:val="center" w:pos="4153"/>
        <w:tab w:val="right" w:pos="8306"/>
      </w:tabs>
    </w:pPr>
    <w:rPr>
      <w:lang w:val="en-US" w:eastAsia="en-US"/>
    </w:rPr>
  </w:style>
  <w:style w:type="character" w:customStyle="1" w:styleId="FooterChar">
    <w:name w:val="Footer Char"/>
    <w:basedOn w:val="DefaultParagraphFont"/>
    <w:link w:val="Footer"/>
    <w:uiPriority w:val="99"/>
    <w:locked/>
    <w:rsid w:val="00DB2BB7"/>
    <w:rPr>
      <w:rFonts w:ascii="Times New Roman" w:hAnsi="Times New Roman" w:cs="Times New Roman"/>
      <w:sz w:val="24"/>
      <w:szCs w:val="24"/>
    </w:rPr>
  </w:style>
  <w:style w:type="paragraph" w:styleId="Header">
    <w:name w:val="header"/>
    <w:basedOn w:val="Normal"/>
    <w:link w:val="HeaderChar"/>
    <w:uiPriority w:val="99"/>
    <w:rsid w:val="00971790"/>
    <w:pPr>
      <w:tabs>
        <w:tab w:val="center" w:pos="4153"/>
        <w:tab w:val="right" w:pos="8306"/>
      </w:tabs>
    </w:pPr>
  </w:style>
  <w:style w:type="character" w:customStyle="1" w:styleId="HeaderChar">
    <w:name w:val="Header Char"/>
    <w:basedOn w:val="DefaultParagraphFont"/>
    <w:link w:val="Header"/>
    <w:uiPriority w:val="99"/>
    <w:semiHidden/>
    <w:rsid w:val="005957B4"/>
    <w:rPr>
      <w:rFonts w:ascii="Times New Roman" w:hAnsi="Times New Roman"/>
      <w:sz w:val="24"/>
      <w:szCs w:val="24"/>
      <w:lang w:val="en-GB" w:eastAsia="en-GB"/>
    </w:rPr>
  </w:style>
  <w:style w:type="character" w:styleId="PageNumber">
    <w:name w:val="page number"/>
    <w:basedOn w:val="DefaultParagraphFont"/>
    <w:uiPriority w:val="99"/>
    <w:rsid w:val="00971790"/>
  </w:style>
  <w:style w:type="paragraph" w:styleId="FootnoteText">
    <w:name w:val="footnote text"/>
    <w:basedOn w:val="Normal"/>
    <w:link w:val="FootnoteTextChar"/>
    <w:uiPriority w:val="99"/>
    <w:semiHidden/>
    <w:rsid w:val="00971790"/>
    <w:rPr>
      <w:sz w:val="20"/>
      <w:szCs w:val="20"/>
    </w:rPr>
  </w:style>
  <w:style w:type="character" w:customStyle="1" w:styleId="FootnoteTextChar">
    <w:name w:val="Footnote Text Char"/>
    <w:basedOn w:val="DefaultParagraphFont"/>
    <w:link w:val="FootnoteText"/>
    <w:uiPriority w:val="99"/>
    <w:semiHidden/>
    <w:rsid w:val="005957B4"/>
    <w:rPr>
      <w:rFonts w:ascii="Times New Roman" w:hAnsi="Times New Roman"/>
      <w:sz w:val="20"/>
      <w:szCs w:val="20"/>
      <w:lang w:val="en-GB" w:eastAsia="en-GB"/>
    </w:rPr>
  </w:style>
  <w:style w:type="character" w:styleId="FootnoteReference">
    <w:name w:val="footnote reference"/>
    <w:basedOn w:val="DefaultParagraphFont"/>
    <w:uiPriority w:val="99"/>
    <w:semiHidden/>
    <w:rsid w:val="00971790"/>
    <w:rPr>
      <w:vertAlign w:val="superscript"/>
    </w:rPr>
  </w:style>
  <w:style w:type="paragraph" w:styleId="BalloonText">
    <w:name w:val="Balloon Text"/>
    <w:basedOn w:val="Normal"/>
    <w:link w:val="BalloonTextChar"/>
    <w:uiPriority w:val="99"/>
    <w:semiHidden/>
    <w:rsid w:val="00545845"/>
    <w:rPr>
      <w:rFonts w:ascii="Tahoma" w:hAnsi="Tahoma" w:cs="Tahoma"/>
      <w:sz w:val="16"/>
      <w:szCs w:val="16"/>
    </w:rPr>
  </w:style>
  <w:style w:type="character" w:customStyle="1" w:styleId="BalloonTextChar">
    <w:name w:val="Balloon Text Char"/>
    <w:basedOn w:val="DefaultParagraphFont"/>
    <w:link w:val="BalloonText"/>
    <w:uiPriority w:val="99"/>
    <w:semiHidden/>
    <w:rsid w:val="005957B4"/>
    <w:rPr>
      <w:rFonts w:ascii="Times New Roman" w:hAnsi="Times New Roman"/>
      <w:sz w:val="0"/>
      <w:szCs w:val="0"/>
      <w:lang w:val="en-GB" w:eastAsia="en-GB"/>
    </w:rPr>
  </w:style>
  <w:style w:type="paragraph" w:customStyle="1" w:styleId="Style11ptJustifiedAfter12pt">
    <w:name w:val="Style 11 pt Justified After:  12 pt"/>
    <w:basedOn w:val="Normal"/>
    <w:link w:val="Style11ptJustifiedAfter12ptChar"/>
    <w:uiPriority w:val="99"/>
    <w:rsid w:val="00667FB8"/>
    <w:pPr>
      <w:spacing w:after="120"/>
      <w:jc w:val="both"/>
    </w:pPr>
    <w:rPr>
      <w:sz w:val="22"/>
      <w:szCs w:val="22"/>
      <w:lang w:val="en-US" w:eastAsia="en-US"/>
    </w:rPr>
  </w:style>
  <w:style w:type="character" w:customStyle="1" w:styleId="Style11ptJustifiedAfter12ptChar">
    <w:name w:val="Style 11 pt Justified After:  12 pt Char"/>
    <w:link w:val="Style11ptJustifiedAfter12pt"/>
    <w:uiPriority w:val="99"/>
    <w:locked/>
    <w:rsid w:val="00667FB8"/>
    <w:rPr>
      <w:rFonts w:ascii="Times New Roman" w:hAnsi="Times New Roman" w:cs="Times New Roman"/>
      <w:sz w:val="22"/>
      <w:szCs w:val="22"/>
    </w:rPr>
  </w:style>
  <w:style w:type="paragraph" w:customStyle="1" w:styleId="Default">
    <w:name w:val="Default"/>
    <w:uiPriority w:val="99"/>
    <w:rsid w:val="005236AC"/>
    <w:pPr>
      <w:autoSpaceDE w:val="0"/>
      <w:autoSpaceDN w:val="0"/>
      <w:adjustRightInd w:val="0"/>
    </w:pPr>
    <w:rPr>
      <w:rFonts w:ascii="HelveticaNeueLT Std Lt" w:hAnsi="HelveticaNeueLT Std Lt" w:cs="HelveticaNeueLT Std Lt"/>
      <w:color w:val="000000"/>
      <w:sz w:val="24"/>
      <w:szCs w:val="24"/>
      <w:lang w:val="en-GB" w:eastAsia="en-GB"/>
    </w:rPr>
  </w:style>
  <w:style w:type="paragraph" w:customStyle="1" w:styleId="Pa9">
    <w:name w:val="Pa9"/>
    <w:basedOn w:val="Default"/>
    <w:next w:val="Default"/>
    <w:uiPriority w:val="99"/>
    <w:rsid w:val="005236AC"/>
    <w:pPr>
      <w:spacing w:line="181" w:lineRule="atLeast"/>
    </w:pPr>
    <w:rPr>
      <w:color w:val="auto"/>
    </w:rPr>
  </w:style>
  <w:style w:type="character" w:customStyle="1" w:styleId="A8">
    <w:name w:val="A8"/>
    <w:uiPriority w:val="99"/>
    <w:rsid w:val="005236AC"/>
    <w:rPr>
      <w:color w:val="000000"/>
      <w:sz w:val="18"/>
      <w:szCs w:val="18"/>
      <w:u w:val="single"/>
    </w:rPr>
  </w:style>
  <w:style w:type="paragraph" w:customStyle="1" w:styleId="Pa6">
    <w:name w:val="Pa6"/>
    <w:basedOn w:val="Default"/>
    <w:next w:val="Default"/>
    <w:uiPriority w:val="99"/>
    <w:rsid w:val="005236AC"/>
    <w:pPr>
      <w:spacing w:line="181" w:lineRule="atLeast"/>
    </w:pPr>
    <w:rPr>
      <w:color w:val="auto"/>
    </w:rPr>
  </w:style>
  <w:style w:type="paragraph" w:styleId="ListBullet">
    <w:name w:val="List Bullet"/>
    <w:basedOn w:val="Normal"/>
    <w:uiPriority w:val="99"/>
    <w:rsid w:val="00C032D4"/>
    <w:pPr>
      <w:numPr>
        <w:numId w:val="3"/>
      </w:numPr>
      <w:spacing w:after="240"/>
      <w:jc w:val="both"/>
    </w:pPr>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653</Words>
  <Characters>3724</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Weighting</dc:title>
  <dc:subject/>
  <dc:creator>silvajq</dc:creator>
  <cp:keywords/>
  <dc:description/>
  <cp:lastModifiedBy>Customer</cp:lastModifiedBy>
  <cp:revision>2</cp:revision>
  <cp:lastPrinted>2012-09-26T14:00:00Z</cp:lastPrinted>
  <dcterms:created xsi:type="dcterms:W3CDTF">2019-11-25T09:12:00Z</dcterms:created>
  <dcterms:modified xsi:type="dcterms:W3CDTF">2019-11-25T09:12:00Z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-957087020</vt:i4>
  </property>
  <property fmtid="{D5CDD505-2E9C-101B-9397-08002B2CF9AE}" pid="3" name="_EmailSubject">
    <vt:lpwstr>Traduccion/ Servicios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Checked by">
    <vt:lpwstr>cajalja</vt:lpwstr>
  </property>
  <property fmtid="{D5CDD505-2E9C-101B-9397-08002B2CF9AE}" pid="7" name="_ReviewingToolsShownOnce">
    <vt:lpwstr/>
  </property>
</Properties>
</file>