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FF" w:rsidRPr="009770CC" w:rsidRDefault="00DB3EFF" w:rsidP="009770CC">
      <w:pPr>
        <w:pStyle w:val="Annexetitle"/>
      </w:pPr>
      <w:r w:rsidRPr="009770CC">
        <w:t>Tender guarantee form</w:t>
      </w:r>
    </w:p>
    <w:p w:rsidR="00DB3EFF" w:rsidRPr="00F20967" w:rsidRDefault="00DB3EFF" w:rsidP="00F20967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F20967">
        <w:rPr>
          <w:rFonts w:ascii="Times New Roman" w:hAnsi="Times New Roman" w:cs="Times New Roman"/>
          <w:sz w:val="22"/>
          <w:szCs w:val="22"/>
          <w:lang w:val="en-GB"/>
        </w:rPr>
        <w:t>Specimen tender guarantee</w:t>
      </w:r>
    </w:p>
    <w:p w:rsidR="00DB3EFF" w:rsidRPr="00A039CA" w:rsidRDefault="00DB3EFF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To be completed on paper bearing the letterhead of the financial institution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br/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For the attention of 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ddress of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uthority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 referred to below as the </w:t>
      </w:r>
      <w:r>
        <w:rPr>
          <w:rFonts w:ascii="Times New Roman" w:hAnsi="Times New Roman" w:cs="Times New Roman"/>
          <w:sz w:val="22"/>
          <w:szCs w:val="22"/>
          <w:lang w:val="en-GB"/>
        </w:rPr>
        <w:t>‘c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uthority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</w:p>
    <w:p w:rsidR="00DB3EFF" w:rsidRPr="00A039CA" w:rsidRDefault="00DB3EFF" w:rsidP="00E54B1B">
      <w:pPr>
        <w:ind w:left="5760" w:firstLine="720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Date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DB3EFF" w:rsidRPr="009E1834" w:rsidRDefault="00DB3EFF" w:rsidP="001D30D8">
      <w:pPr>
        <w:spacing w:before="24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Title of contract: Three (3) laptops</w:t>
      </w:r>
    </w:p>
    <w:p w:rsidR="00DB3EFF" w:rsidRPr="00110E59" w:rsidRDefault="00DB3EFF" w:rsidP="00110E59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Identification number: </w:t>
      </w:r>
      <w:r>
        <w:rPr>
          <w:b/>
          <w:bCs/>
        </w:rPr>
        <w:t xml:space="preserve">CN1 – SO1.2 – SC027  </w:t>
      </w:r>
      <w:r>
        <w:t>Tender 2/2019</w:t>
      </w:r>
    </w:p>
    <w:p w:rsidR="00DB3EFF" w:rsidRPr="009E1834" w:rsidRDefault="00DB3EFF" w:rsidP="009770CC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DB3EFF" w:rsidRPr="00A039CA" w:rsidRDefault="00DB3EFF" w:rsidP="009770CC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We, the undersigned, 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name and address of financial institution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, hereby irrevocably declare that we will guarantee as primary obligor, and not merely as a surety on behalf of 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enderer's name and address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 the payment to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uthority of 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amount of the tender guarantee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, this amount representing the guarantee referred to in article 11 of the </w:t>
      </w:r>
      <w:r>
        <w:rPr>
          <w:rFonts w:ascii="Times New Roman" w:hAnsi="Times New Roman" w:cs="Times New Roman"/>
          <w:sz w:val="22"/>
          <w:szCs w:val="22"/>
          <w:lang w:val="en-GB"/>
        </w:rPr>
        <w:t>contract notice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DB3EFF" w:rsidRPr="00A039CA" w:rsidRDefault="00DB3EFF" w:rsidP="009770CC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Payment shall be made without objection or legal proceedings of any kind, upon receipt of your first written claim (sent by registered letter with confirmation of receipt) if the </w:t>
      </w:r>
      <w:r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enderer does not fulfil all obligations stated in its tender. We shall not delay the payment, nor shall we oppose it for any reason whatsoever. </w:t>
      </w:r>
      <w:r w:rsidRPr="002B5E70">
        <w:rPr>
          <w:rFonts w:ascii="Times New Roman" w:hAnsi="Times New Roman" w:cs="Times New Roman"/>
          <w:sz w:val="22"/>
          <w:szCs w:val="22"/>
          <w:lang w:val="en-GB"/>
        </w:rPr>
        <w:t>We shall not under any circumstances benefit from the defences of the security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We shall inform you in writing as soon as payment has been made.</w:t>
      </w:r>
    </w:p>
    <w:p w:rsidR="00DB3EFF" w:rsidRPr="00A039CA" w:rsidRDefault="00DB3EFF" w:rsidP="009770CC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We note that the guarantee will be released at the latest within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45 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days of the expiry of the tender validity period, including any extensions, in accordance with Article 8 of the Instructions to </w:t>
      </w:r>
      <w:r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enderers</w:t>
      </w:r>
      <w:r w:rsidRPr="003F5B07">
        <w:rPr>
          <w:rFonts w:ascii="Times New Roman" w:hAnsi="Times New Roman" w:cs="Times New Roman"/>
          <w:sz w:val="22"/>
          <w:szCs w:val="22"/>
          <w:lang w:val="en-US"/>
        </w:rPr>
        <w:t>[and in any case at the latest on (</w:t>
      </w:r>
      <w:r>
        <w:rPr>
          <w:rFonts w:ascii="Times New Roman" w:hAnsi="Times New Roman" w:cs="Times New Roman"/>
          <w:sz w:val="22"/>
          <w:szCs w:val="22"/>
          <w:lang w:val="en-US"/>
        </w:rPr>
        <w:t>1 year after the deadline for submission of tenders</w:t>
      </w:r>
      <w:r w:rsidRPr="003F5B07">
        <w:rPr>
          <w:rFonts w:ascii="Times New Roman" w:hAnsi="Times New Roman" w:cs="Times New Roman"/>
          <w:sz w:val="22"/>
          <w:szCs w:val="22"/>
          <w:lang w:val="en-US"/>
        </w:rPr>
        <w:t>)]</w:t>
      </w:r>
      <w:r w:rsidRPr="003F5B07">
        <w:rPr>
          <w:rFonts w:ascii="TimesNewRomanPS" w:hAnsi="TimesNewRomanPS" w:cs="TimesNewRomanPS"/>
          <w:position w:val="6"/>
          <w:sz w:val="16"/>
          <w:szCs w:val="16"/>
          <w:lang w:val="en-US"/>
        </w:rPr>
        <w:footnoteReference w:id="2"/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DB3EFF" w:rsidRPr="00A039CA" w:rsidRDefault="00DB3EFF" w:rsidP="00193F3E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The law applicable to this guarantee shall be that of </w:t>
      </w: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>outside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EU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944950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/>
        </w:rPr>
        <w:t>] [</w:t>
      </w:r>
      <w:r w:rsidRPr="00346921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(i)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/>
        </w:rPr>
        <w:t xml:space="preserve">inside the EU; OR (ii)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uthority is an authority in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partner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country</w:t>
      </w:r>
      <w:r w:rsidRPr="007C7C2B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&lt;the country in which the financial institution issuing the guarantee is established&gt;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A039CA">
        <w:rPr>
          <w:rFonts w:ascii="Times New Roman" w:hAnsi="Times New Roman" w:cs="Times New Roman"/>
          <w:sz w:val="22"/>
          <w:szCs w:val="22"/>
          <w:lang w:val="en-GB"/>
        </w:rPr>
        <w:t xml:space="preserve">. Any dispute arising out of or in connection with this guarantee shall be referred to the courts of </w:t>
      </w: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 xml:space="preserve">outside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the EU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944950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/>
        </w:rPr>
        <w:t>] [</w:t>
      </w:r>
      <w:r w:rsidRPr="00346921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(i)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Pr="007D29CA">
        <w:rPr>
          <w:rFonts w:ascii="Times New Roman" w:hAnsi="Times New Roman" w:cs="Times New Roman"/>
          <w:sz w:val="22"/>
          <w:szCs w:val="22"/>
          <w:highlight w:val="yellow"/>
          <w:u w:val="single"/>
          <w:lang w:val="en-GB"/>
        </w:rPr>
        <w:t>inside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the EU; OR (ii) </w:t>
      </w:r>
      <w:r w:rsidRPr="00745C1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if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uthority is an authority in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partner</w:t>
      </w:r>
      <w:r w:rsidRPr="0066596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country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 xml:space="preserve">: 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&lt;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the country </w:t>
      </w:r>
      <w:r w:rsidRPr="00425CD6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 which the financial institution issuing the guarantee is established</w:t>
      </w:r>
      <w:r w:rsidRPr="00944950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&gt;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E9122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DB3EFF" w:rsidRPr="00A039CA" w:rsidRDefault="00DB3EFF" w:rsidP="009770CC">
      <w:pPr>
        <w:spacing w:after="60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>The guarantee will enter into force and take effect from the submission deadline of the tender.</w:t>
      </w:r>
    </w:p>
    <w:p w:rsidR="00DB3EFF" w:rsidRPr="00A039CA" w:rsidRDefault="00DB3EFF" w:rsidP="009770CC">
      <w:pPr>
        <w:spacing w:after="240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>Name: …………………………… Position: …………………</w:t>
      </w:r>
    </w:p>
    <w:p w:rsidR="00DB3EFF" w:rsidRPr="00A039CA" w:rsidRDefault="00DB3EFF" w:rsidP="009770CC">
      <w:pPr>
        <w:spacing w:after="240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>Signature: ……………..</w:t>
      </w:r>
    </w:p>
    <w:p w:rsidR="00DB3EFF" w:rsidRPr="00A039CA" w:rsidRDefault="00DB3EFF" w:rsidP="009770CC">
      <w:pPr>
        <w:spacing w:after="240"/>
        <w:rPr>
          <w:rFonts w:ascii="Times New Roman" w:hAnsi="Times New Roman" w:cs="Times New Roman"/>
          <w:sz w:val="22"/>
          <w:szCs w:val="22"/>
          <w:lang w:val="en-GB"/>
        </w:rPr>
      </w:pPr>
      <w:r w:rsidRPr="00A039CA">
        <w:rPr>
          <w:rFonts w:ascii="Times New Roman" w:hAnsi="Times New Roman" w:cs="Times New Roman"/>
          <w:sz w:val="22"/>
          <w:szCs w:val="22"/>
          <w:lang w:val="en-GB"/>
        </w:rPr>
        <w:t>Date:</w:t>
      </w:r>
    </w:p>
    <w:sectPr w:rsidR="00DB3EFF" w:rsidRPr="00A039CA" w:rsidSect="00535826">
      <w:footerReference w:type="default" r:id="rId7"/>
      <w:footerReference w:type="first" r:id="rId8"/>
      <w:type w:val="oddPage"/>
      <w:pgSz w:w="11907" w:h="16840" w:code="9"/>
      <w:pgMar w:top="1134" w:right="1418" w:bottom="1134" w:left="1134" w:header="720" w:footer="720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FF" w:rsidRDefault="00DB3EFF">
      <w:r>
        <w:separator/>
      </w:r>
    </w:p>
  </w:endnote>
  <w:endnote w:type="continuationSeparator" w:id="1">
    <w:p w:rsidR="00DB3EFF" w:rsidRDefault="00DB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FF" w:rsidRDefault="00DB3EFF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  <w:iCs/>
      </w:rPr>
    </w:pP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  <w:p w:rsidR="00DB3EFF" w:rsidRDefault="00DB3EFF">
    <w:pPr>
      <w:pStyle w:val="Footer"/>
      <w:spacing w:after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FF" w:rsidRPr="00FF1409" w:rsidRDefault="00DB3EFF" w:rsidP="00665967">
    <w:pPr>
      <w:pStyle w:val="Footer"/>
      <w:tabs>
        <w:tab w:val="clear" w:pos="4320"/>
        <w:tab w:val="clear" w:pos="8640"/>
        <w:tab w:val="right" w:pos="8505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FF1409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FF1409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FF1409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FF1409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DB3EFF" w:rsidRPr="00FF1409" w:rsidRDefault="00DB3EFF" w:rsidP="001D30D8">
    <w:pPr>
      <w:pStyle w:val="Footer"/>
      <w:tabs>
        <w:tab w:val="clear" w:pos="4320"/>
        <w:tab w:val="clear" w:pos="8640"/>
        <w:tab w:val="center" w:pos="4820"/>
        <w:tab w:val="right" w:pos="8505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FF140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FF1409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c4n_tenderguarantee_en.doc</w:t>
    </w:r>
    <w:r w:rsidRPr="00FF1409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FF" w:rsidRDefault="00DB3EFF">
      <w:r>
        <w:separator/>
      </w:r>
    </w:p>
  </w:footnote>
  <w:footnote w:type="continuationSeparator" w:id="1">
    <w:p w:rsidR="00DB3EFF" w:rsidRDefault="00DB3EFF">
      <w:r>
        <w:continuationSeparator/>
      </w:r>
    </w:p>
  </w:footnote>
  <w:footnote w:id="2">
    <w:p w:rsidR="00DB3EFF" w:rsidRDefault="00DB3EFF" w:rsidP="00A42D7B">
      <w:pPr>
        <w:pStyle w:val="FootnoteText"/>
      </w:pPr>
      <w:r w:rsidRPr="009770CC">
        <w:rPr>
          <w:rStyle w:val="FootnoteReference"/>
          <w:rFonts w:cs="Arial"/>
        </w:rPr>
        <w:footnoteRef/>
      </w:r>
      <w:r w:rsidRPr="00A42D7B">
        <w:rPr>
          <w:lang w:val="en-GB"/>
        </w:rPr>
        <w:t>This mention has to be inserted only where required, for example where the law applicable to the guarantee imposes a precise expiry date or where the guarantor can justify that he is unable to provide such a guarantee without expi</w:t>
      </w:r>
      <w:bookmarkStart w:id="0" w:name="_GoBack"/>
      <w:bookmarkEnd w:id="0"/>
      <w:r w:rsidRPr="00A42D7B">
        <w:rPr>
          <w:lang w:val="en-GB"/>
        </w:rPr>
        <w:t>ry date.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10D72"/>
    <w:rsid w:val="00040CF1"/>
    <w:rsid w:val="00041516"/>
    <w:rsid w:val="000417E2"/>
    <w:rsid w:val="00043159"/>
    <w:rsid w:val="00043D94"/>
    <w:rsid w:val="000461E8"/>
    <w:rsid w:val="00051DD7"/>
    <w:rsid w:val="00056EAA"/>
    <w:rsid w:val="00061793"/>
    <w:rsid w:val="00063C56"/>
    <w:rsid w:val="00067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0E59"/>
    <w:rsid w:val="00111B28"/>
    <w:rsid w:val="00115916"/>
    <w:rsid w:val="001302A7"/>
    <w:rsid w:val="00134D4D"/>
    <w:rsid w:val="00144233"/>
    <w:rsid w:val="0014659F"/>
    <w:rsid w:val="00150767"/>
    <w:rsid w:val="001536B3"/>
    <w:rsid w:val="00157DEE"/>
    <w:rsid w:val="0017431D"/>
    <w:rsid w:val="0017477F"/>
    <w:rsid w:val="001766D9"/>
    <w:rsid w:val="00181980"/>
    <w:rsid w:val="001843DE"/>
    <w:rsid w:val="00187253"/>
    <w:rsid w:val="001932AF"/>
    <w:rsid w:val="001937B4"/>
    <w:rsid w:val="00193F3E"/>
    <w:rsid w:val="001B5454"/>
    <w:rsid w:val="001D0532"/>
    <w:rsid w:val="001D30D8"/>
    <w:rsid w:val="001E4648"/>
    <w:rsid w:val="001F5421"/>
    <w:rsid w:val="0020159F"/>
    <w:rsid w:val="002068E0"/>
    <w:rsid w:val="00211E0F"/>
    <w:rsid w:val="00216F0D"/>
    <w:rsid w:val="0021713E"/>
    <w:rsid w:val="002209F1"/>
    <w:rsid w:val="00220BF7"/>
    <w:rsid w:val="00224C44"/>
    <w:rsid w:val="002426D3"/>
    <w:rsid w:val="002442B7"/>
    <w:rsid w:val="002560BB"/>
    <w:rsid w:val="002561C8"/>
    <w:rsid w:val="0026542C"/>
    <w:rsid w:val="00271700"/>
    <w:rsid w:val="0028364A"/>
    <w:rsid w:val="0028709A"/>
    <w:rsid w:val="00294190"/>
    <w:rsid w:val="002A0041"/>
    <w:rsid w:val="002B5E70"/>
    <w:rsid w:val="002B6401"/>
    <w:rsid w:val="002B659E"/>
    <w:rsid w:val="002C649A"/>
    <w:rsid w:val="002D2FC0"/>
    <w:rsid w:val="002F1222"/>
    <w:rsid w:val="002F1A99"/>
    <w:rsid w:val="00322263"/>
    <w:rsid w:val="003308C6"/>
    <w:rsid w:val="003409B8"/>
    <w:rsid w:val="00346921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AB8"/>
    <w:rsid w:val="00387C56"/>
    <w:rsid w:val="003A3BD0"/>
    <w:rsid w:val="003D3CAA"/>
    <w:rsid w:val="003D7611"/>
    <w:rsid w:val="003F2FA4"/>
    <w:rsid w:val="003F3B51"/>
    <w:rsid w:val="003F5B07"/>
    <w:rsid w:val="003F7DB7"/>
    <w:rsid w:val="0040221E"/>
    <w:rsid w:val="00420666"/>
    <w:rsid w:val="00425CD6"/>
    <w:rsid w:val="00426CAB"/>
    <w:rsid w:val="004300D4"/>
    <w:rsid w:val="004316F0"/>
    <w:rsid w:val="004554CB"/>
    <w:rsid w:val="004775D2"/>
    <w:rsid w:val="00482F37"/>
    <w:rsid w:val="00483E26"/>
    <w:rsid w:val="00492EAE"/>
    <w:rsid w:val="004A7ED9"/>
    <w:rsid w:val="004B309F"/>
    <w:rsid w:val="004C35B5"/>
    <w:rsid w:val="004C4FEA"/>
    <w:rsid w:val="004C7EFC"/>
    <w:rsid w:val="004D2FD8"/>
    <w:rsid w:val="004D6EDE"/>
    <w:rsid w:val="004F5C57"/>
    <w:rsid w:val="004F7B12"/>
    <w:rsid w:val="00501FF0"/>
    <w:rsid w:val="00511B17"/>
    <w:rsid w:val="00513BE5"/>
    <w:rsid w:val="0053391C"/>
    <w:rsid w:val="00535826"/>
    <w:rsid w:val="00536B4A"/>
    <w:rsid w:val="00544472"/>
    <w:rsid w:val="00575CB0"/>
    <w:rsid w:val="00591F23"/>
    <w:rsid w:val="00592AC7"/>
    <w:rsid w:val="00593550"/>
    <w:rsid w:val="005B2018"/>
    <w:rsid w:val="005B2AFF"/>
    <w:rsid w:val="005C0EA1"/>
    <w:rsid w:val="005F10A9"/>
    <w:rsid w:val="005F2BBF"/>
    <w:rsid w:val="005F3C51"/>
    <w:rsid w:val="005F62D0"/>
    <w:rsid w:val="006031D1"/>
    <w:rsid w:val="006311FE"/>
    <w:rsid w:val="00633829"/>
    <w:rsid w:val="00635E46"/>
    <w:rsid w:val="006408AC"/>
    <w:rsid w:val="0066519D"/>
    <w:rsid w:val="00665967"/>
    <w:rsid w:val="00677500"/>
    <w:rsid w:val="0068247E"/>
    <w:rsid w:val="006915DC"/>
    <w:rsid w:val="006917B2"/>
    <w:rsid w:val="006B0AB1"/>
    <w:rsid w:val="006C2954"/>
    <w:rsid w:val="006C2F05"/>
    <w:rsid w:val="006E56FD"/>
    <w:rsid w:val="006E6880"/>
    <w:rsid w:val="00711C72"/>
    <w:rsid w:val="00712ADD"/>
    <w:rsid w:val="0073450F"/>
    <w:rsid w:val="00745594"/>
    <w:rsid w:val="00745C17"/>
    <w:rsid w:val="0075384B"/>
    <w:rsid w:val="00757E00"/>
    <w:rsid w:val="00777E99"/>
    <w:rsid w:val="00781616"/>
    <w:rsid w:val="00792A1B"/>
    <w:rsid w:val="00796C40"/>
    <w:rsid w:val="007B65DB"/>
    <w:rsid w:val="007C0BDD"/>
    <w:rsid w:val="007C1656"/>
    <w:rsid w:val="007C75E0"/>
    <w:rsid w:val="007C7C2B"/>
    <w:rsid w:val="007D29CA"/>
    <w:rsid w:val="007D5FA2"/>
    <w:rsid w:val="007E3D5F"/>
    <w:rsid w:val="007F32B5"/>
    <w:rsid w:val="00806CE0"/>
    <w:rsid w:val="00811F58"/>
    <w:rsid w:val="00813E47"/>
    <w:rsid w:val="00853F9D"/>
    <w:rsid w:val="0085667F"/>
    <w:rsid w:val="008617F3"/>
    <w:rsid w:val="00870527"/>
    <w:rsid w:val="008808CB"/>
    <w:rsid w:val="008859E6"/>
    <w:rsid w:val="008A39B7"/>
    <w:rsid w:val="008E40E2"/>
    <w:rsid w:val="00920A51"/>
    <w:rsid w:val="00922542"/>
    <w:rsid w:val="009352FD"/>
    <w:rsid w:val="0093582A"/>
    <w:rsid w:val="00944950"/>
    <w:rsid w:val="0094670B"/>
    <w:rsid w:val="009770CC"/>
    <w:rsid w:val="00980A42"/>
    <w:rsid w:val="009908DE"/>
    <w:rsid w:val="009976B3"/>
    <w:rsid w:val="009A3792"/>
    <w:rsid w:val="009B0CF1"/>
    <w:rsid w:val="009B2F1F"/>
    <w:rsid w:val="009B422E"/>
    <w:rsid w:val="009B4D6F"/>
    <w:rsid w:val="009C0E86"/>
    <w:rsid w:val="009D2938"/>
    <w:rsid w:val="009E1834"/>
    <w:rsid w:val="009E6BB7"/>
    <w:rsid w:val="00A039CA"/>
    <w:rsid w:val="00A24040"/>
    <w:rsid w:val="00A33077"/>
    <w:rsid w:val="00A42D7B"/>
    <w:rsid w:val="00A44A59"/>
    <w:rsid w:val="00A512C9"/>
    <w:rsid w:val="00A539E4"/>
    <w:rsid w:val="00A62073"/>
    <w:rsid w:val="00A63E3C"/>
    <w:rsid w:val="00A7487B"/>
    <w:rsid w:val="00A75650"/>
    <w:rsid w:val="00A95FCC"/>
    <w:rsid w:val="00AA24A4"/>
    <w:rsid w:val="00AB29A9"/>
    <w:rsid w:val="00AB66A5"/>
    <w:rsid w:val="00AC7636"/>
    <w:rsid w:val="00AE6600"/>
    <w:rsid w:val="00AE7D13"/>
    <w:rsid w:val="00AF4052"/>
    <w:rsid w:val="00B07102"/>
    <w:rsid w:val="00B072E5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A04E2"/>
    <w:rsid w:val="00BB56D3"/>
    <w:rsid w:val="00BC6222"/>
    <w:rsid w:val="00BD201F"/>
    <w:rsid w:val="00BD3371"/>
    <w:rsid w:val="00C01B81"/>
    <w:rsid w:val="00C02EC7"/>
    <w:rsid w:val="00C12AF0"/>
    <w:rsid w:val="00C13C29"/>
    <w:rsid w:val="00C17310"/>
    <w:rsid w:val="00C248B1"/>
    <w:rsid w:val="00C24D69"/>
    <w:rsid w:val="00C302E1"/>
    <w:rsid w:val="00C3235B"/>
    <w:rsid w:val="00C34E40"/>
    <w:rsid w:val="00C3719D"/>
    <w:rsid w:val="00C438A3"/>
    <w:rsid w:val="00C47A7B"/>
    <w:rsid w:val="00C61312"/>
    <w:rsid w:val="00C720C8"/>
    <w:rsid w:val="00C75CCE"/>
    <w:rsid w:val="00C92434"/>
    <w:rsid w:val="00CA1354"/>
    <w:rsid w:val="00CA6C68"/>
    <w:rsid w:val="00CB0AE1"/>
    <w:rsid w:val="00CB488B"/>
    <w:rsid w:val="00CC7DE2"/>
    <w:rsid w:val="00CD7F25"/>
    <w:rsid w:val="00CF21A9"/>
    <w:rsid w:val="00CF6CFA"/>
    <w:rsid w:val="00D11B28"/>
    <w:rsid w:val="00D24893"/>
    <w:rsid w:val="00D43612"/>
    <w:rsid w:val="00D465AD"/>
    <w:rsid w:val="00D52CBF"/>
    <w:rsid w:val="00D54CAC"/>
    <w:rsid w:val="00D576CA"/>
    <w:rsid w:val="00D66F04"/>
    <w:rsid w:val="00D73E57"/>
    <w:rsid w:val="00D75213"/>
    <w:rsid w:val="00D83D1B"/>
    <w:rsid w:val="00D979C6"/>
    <w:rsid w:val="00DA4AB8"/>
    <w:rsid w:val="00DB3EFF"/>
    <w:rsid w:val="00DB53B9"/>
    <w:rsid w:val="00DB6163"/>
    <w:rsid w:val="00DC50E2"/>
    <w:rsid w:val="00DC54A0"/>
    <w:rsid w:val="00DC6C9C"/>
    <w:rsid w:val="00DD0624"/>
    <w:rsid w:val="00DE1026"/>
    <w:rsid w:val="00DF7327"/>
    <w:rsid w:val="00DF7962"/>
    <w:rsid w:val="00E01178"/>
    <w:rsid w:val="00E1294D"/>
    <w:rsid w:val="00E13CDE"/>
    <w:rsid w:val="00E2190B"/>
    <w:rsid w:val="00E2682A"/>
    <w:rsid w:val="00E27678"/>
    <w:rsid w:val="00E30296"/>
    <w:rsid w:val="00E340A7"/>
    <w:rsid w:val="00E34208"/>
    <w:rsid w:val="00E37290"/>
    <w:rsid w:val="00E41C6F"/>
    <w:rsid w:val="00E52467"/>
    <w:rsid w:val="00E52D98"/>
    <w:rsid w:val="00E54B1B"/>
    <w:rsid w:val="00E571E1"/>
    <w:rsid w:val="00E61F83"/>
    <w:rsid w:val="00E62221"/>
    <w:rsid w:val="00E62923"/>
    <w:rsid w:val="00E63FC9"/>
    <w:rsid w:val="00E730A5"/>
    <w:rsid w:val="00E811F3"/>
    <w:rsid w:val="00E85F91"/>
    <w:rsid w:val="00E8717F"/>
    <w:rsid w:val="00E9122A"/>
    <w:rsid w:val="00EE0ED9"/>
    <w:rsid w:val="00EE2E55"/>
    <w:rsid w:val="00F02006"/>
    <w:rsid w:val="00F0574A"/>
    <w:rsid w:val="00F20967"/>
    <w:rsid w:val="00F33A99"/>
    <w:rsid w:val="00F33E80"/>
    <w:rsid w:val="00F37F2D"/>
    <w:rsid w:val="00F56D4C"/>
    <w:rsid w:val="00F62A32"/>
    <w:rsid w:val="00F658F3"/>
    <w:rsid w:val="00F70B86"/>
    <w:rsid w:val="00F8016B"/>
    <w:rsid w:val="00F804E1"/>
    <w:rsid w:val="00F87F88"/>
    <w:rsid w:val="00F90A9F"/>
    <w:rsid w:val="00F91DF6"/>
    <w:rsid w:val="00F962E3"/>
    <w:rsid w:val="00FA2571"/>
    <w:rsid w:val="00FA3F66"/>
    <w:rsid w:val="00FB218D"/>
    <w:rsid w:val="00FB3374"/>
    <w:rsid w:val="00FB67DE"/>
    <w:rsid w:val="00FD6CB9"/>
    <w:rsid w:val="00FE3081"/>
    <w:rsid w:val="00FE3E3B"/>
    <w:rsid w:val="00FF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82F37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7A7B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A7B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7A7B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7A7B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7A7B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7A7B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7A7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47A7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7A7B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lang w:val="sv-SE"/>
    </w:rPr>
  </w:style>
  <w:style w:type="paragraph" w:styleId="Title">
    <w:name w:val="Title"/>
    <w:basedOn w:val="Normal"/>
    <w:link w:val="TitleChar"/>
    <w:uiPriority w:val="99"/>
    <w:qFormat/>
    <w:rsid w:val="00C47A7B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C47A7B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C47A7B"/>
    <w:pPr>
      <w:tabs>
        <w:tab w:val="num" w:pos="567"/>
      </w:tabs>
      <w:spacing w:before="0" w:after="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C47A7B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C47A7B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C47A7B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C47A7B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C47A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C47A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C47A7B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47A7B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C47A7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482F37"/>
    <w:pPr>
      <w:spacing w:before="0"/>
      <w:jc w:val="both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C47A7B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C47A7B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szCs w:val="2"/>
      <w:lang w:val="sv-SE"/>
    </w:rPr>
  </w:style>
  <w:style w:type="paragraph" w:customStyle="1" w:styleId="bulletsub">
    <w:name w:val="bullet_sub"/>
    <w:basedOn w:val="Normal"/>
    <w:uiPriority w:val="99"/>
    <w:rsid w:val="00C47A7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C47A7B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C47A7B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9770CC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center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C47A7B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C47A7B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C47A7B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C47A7B"/>
    <w:pPr>
      <w:spacing w:before="0" w:after="0"/>
      <w:ind w:left="200"/>
    </w:pPr>
    <w:rPr>
      <w:smallCaps/>
    </w:rPr>
  </w:style>
  <w:style w:type="character" w:styleId="Strong">
    <w:name w:val="Strong"/>
    <w:basedOn w:val="DefaultParagraphFont"/>
    <w:uiPriority w:val="99"/>
    <w:qFormat/>
    <w:rsid w:val="00C47A7B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C47A7B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C47A7B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C47A7B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C47A7B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C47A7B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C47A7B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C47A7B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C47A7B"/>
    <w:pPr>
      <w:spacing w:before="0" w:after="0"/>
      <w:ind w:left="160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C47A7B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C47A7B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C47A7B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C47A7B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C47A7B"/>
    <w:pPr>
      <w:ind w:left="851" w:hanging="851"/>
      <w:jc w:val="both"/>
    </w:pPr>
    <w:rPr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F33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szCs w:val="2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399</Words>
  <Characters>2277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3</cp:revision>
  <cp:lastPrinted>2012-09-24T09:41:00Z</cp:lastPrinted>
  <dcterms:created xsi:type="dcterms:W3CDTF">2019-08-20T07:10:00Z</dcterms:created>
  <dcterms:modified xsi:type="dcterms:W3CDTF">2019-08-27T07:00:00Z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-1280565268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